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B2651">
      <w:pPr>
        <w:widowControl/>
        <w:kinsoku w:val="0"/>
        <w:autoSpaceDE w:val="0"/>
        <w:autoSpaceDN w:val="0"/>
        <w:adjustRightInd w:val="0"/>
        <w:snapToGrid w:val="0"/>
        <w:spacing w:before="198" w:line="199" w:lineRule="auto"/>
        <w:ind w:left="757"/>
        <w:jc w:val="center"/>
        <w:textAlignment w:val="baseline"/>
        <w:rPr>
          <w:rFonts w:hint="eastAsia" w:ascii="Microsoft YaHei UI" w:hAnsi="Microsoft YaHei UI" w:eastAsia="Microsoft YaHei UI" w:cs="Microsoft YaHei UI"/>
          <w:snapToGrid w:val="0"/>
          <w:color w:val="000000"/>
          <w:spacing w:val="-2"/>
          <w:kern w:val="0"/>
          <w:sz w:val="36"/>
          <w:szCs w:val="36"/>
        </w:rPr>
      </w:pPr>
    </w:p>
    <w:p w14:paraId="6D96A468">
      <w:pPr>
        <w:widowControl/>
        <w:kinsoku w:val="0"/>
        <w:autoSpaceDE w:val="0"/>
        <w:autoSpaceDN w:val="0"/>
        <w:adjustRightInd w:val="0"/>
        <w:snapToGrid w:val="0"/>
        <w:spacing w:before="198" w:line="199" w:lineRule="auto"/>
        <w:ind w:left="757"/>
        <w:jc w:val="center"/>
        <w:textAlignment w:val="baseline"/>
        <w:rPr>
          <w:rFonts w:hint="eastAsia" w:ascii="黑体" w:hAnsi="黑体" w:eastAsia="黑体" w:cs="黑体"/>
          <w:snapToGrid w:val="0"/>
          <w:color w:val="000000"/>
          <w:spacing w:val="-2"/>
          <w:kern w:val="0"/>
          <w:sz w:val="32"/>
          <w:szCs w:val="32"/>
        </w:rPr>
      </w:pPr>
      <w:r>
        <w:rPr>
          <w:rFonts w:hint="eastAsia" w:ascii="黑体" w:hAnsi="黑体" w:eastAsia="黑体" w:cs="黑体"/>
          <w:snapToGrid w:val="0"/>
          <w:color w:val="000000"/>
          <w:spacing w:val="-2"/>
          <w:kern w:val="0"/>
          <w:sz w:val="32"/>
          <w:szCs w:val="32"/>
        </w:rPr>
        <w:t>团体标准</w:t>
      </w:r>
    </w:p>
    <w:p w14:paraId="313931AE">
      <w:pPr>
        <w:widowControl/>
        <w:kinsoku w:val="0"/>
        <w:autoSpaceDE w:val="0"/>
        <w:autoSpaceDN w:val="0"/>
        <w:adjustRightInd w:val="0"/>
        <w:snapToGrid w:val="0"/>
        <w:spacing w:before="198" w:line="199" w:lineRule="auto"/>
        <w:ind w:left="757"/>
        <w:jc w:val="center"/>
        <w:textAlignment w:val="baseline"/>
        <w:rPr>
          <w:rFonts w:hint="eastAsia" w:ascii="黑体" w:hAnsi="黑体" w:eastAsia="黑体" w:cs="黑体"/>
          <w:snapToGrid w:val="0"/>
          <w:color w:val="000000"/>
          <w:spacing w:val="-2"/>
          <w:kern w:val="0"/>
          <w:sz w:val="32"/>
          <w:szCs w:val="32"/>
        </w:rPr>
      </w:pPr>
      <w:r>
        <w:rPr>
          <w:rFonts w:hint="eastAsia" w:ascii="黑体" w:hAnsi="黑体" w:eastAsia="黑体" w:cs="黑体"/>
          <w:snapToGrid w:val="0"/>
          <w:color w:val="000000"/>
          <w:spacing w:val="-2"/>
          <w:kern w:val="0"/>
          <w:sz w:val="32"/>
          <w:szCs w:val="32"/>
        </w:rPr>
        <w:t>《</w:t>
      </w:r>
      <w:bookmarkStart w:id="0" w:name="OLE_LINK5"/>
      <w:r>
        <w:rPr>
          <w:rFonts w:hint="eastAsia" w:ascii="黑体" w:hAnsi="黑体" w:eastAsia="黑体" w:cs="黑体"/>
          <w:snapToGrid w:val="0"/>
          <w:color w:val="000000"/>
          <w:spacing w:val="-2"/>
          <w:kern w:val="0"/>
          <w:sz w:val="32"/>
          <w:szCs w:val="32"/>
        </w:rPr>
        <w:t>面向人工智能的数据集通用检验检测要求</w:t>
      </w:r>
      <w:bookmarkEnd w:id="0"/>
      <w:r>
        <w:rPr>
          <w:rFonts w:hint="eastAsia" w:ascii="黑体" w:hAnsi="黑体" w:eastAsia="黑体" w:cs="黑体"/>
          <w:snapToGrid w:val="0"/>
          <w:color w:val="000000"/>
          <w:spacing w:val="-2"/>
          <w:kern w:val="0"/>
          <w:sz w:val="32"/>
          <w:szCs w:val="32"/>
        </w:rPr>
        <w:t>》</w:t>
      </w:r>
    </w:p>
    <w:p w14:paraId="517283A9">
      <w:pPr>
        <w:widowControl/>
        <w:kinsoku w:val="0"/>
        <w:autoSpaceDE w:val="0"/>
        <w:autoSpaceDN w:val="0"/>
        <w:adjustRightInd w:val="0"/>
        <w:snapToGrid w:val="0"/>
        <w:spacing w:before="198" w:line="199" w:lineRule="auto"/>
        <w:ind w:left="757"/>
        <w:jc w:val="center"/>
        <w:textAlignment w:val="baseline"/>
        <w:rPr>
          <w:rFonts w:hint="eastAsia" w:ascii="黑体" w:hAnsi="黑体" w:eastAsia="黑体" w:cs="黑体"/>
          <w:snapToGrid w:val="0"/>
          <w:color w:val="000000"/>
          <w:spacing w:val="-2"/>
          <w:kern w:val="0"/>
          <w:sz w:val="32"/>
          <w:szCs w:val="32"/>
        </w:rPr>
      </w:pPr>
      <w:r>
        <w:rPr>
          <w:rFonts w:hint="eastAsia" w:ascii="黑体" w:hAnsi="黑体" w:eastAsia="黑体" w:cs="黑体"/>
          <w:snapToGrid w:val="0"/>
          <w:color w:val="000000"/>
          <w:spacing w:val="-2"/>
          <w:kern w:val="0"/>
          <w:sz w:val="32"/>
          <w:szCs w:val="32"/>
        </w:rPr>
        <w:t>编制说明</w:t>
      </w:r>
    </w:p>
    <w:p w14:paraId="5483C90B">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项目来源</w:t>
      </w:r>
    </w:p>
    <w:p w14:paraId="58824D90">
      <w:pPr>
        <w:pStyle w:val="11"/>
        <w:keepNext w:val="0"/>
        <w:keepLines w:val="0"/>
        <w:pageBreakBefore w:val="0"/>
        <w:widowControl w:val="0"/>
        <w:kinsoku/>
        <w:wordWrap/>
        <w:overflowPunct/>
        <w:topLinePunct w:val="0"/>
        <w:autoSpaceDE/>
        <w:autoSpaceDN/>
        <w:bidi w:val="0"/>
        <w:adjustRightInd/>
        <w:snapToGrid/>
        <w:spacing w:line="360" w:lineRule="auto"/>
        <w:ind w:firstLine="556"/>
        <w:jc w:val="both"/>
        <w:textAlignment w:val="auto"/>
        <w:rPr>
          <w:rFonts w:hint="eastAsia" w:asciiTheme="minorEastAsia" w:hAnsiTheme="minorEastAsia" w:eastAsiaTheme="minorEastAsia" w:cstheme="minorEastAsia"/>
          <w:snapToGrid w:val="0"/>
          <w:color w:val="000000"/>
          <w:spacing w:val="-1"/>
          <w:kern w:val="0"/>
          <w:sz w:val="21"/>
          <w:szCs w:val="21"/>
        </w:rPr>
      </w:pPr>
      <w:r>
        <w:rPr>
          <w:rFonts w:hint="eastAsia" w:asciiTheme="minorEastAsia" w:hAnsiTheme="minorEastAsia" w:eastAsiaTheme="minorEastAsia" w:cstheme="minorEastAsia"/>
          <w:snapToGrid w:val="0"/>
          <w:color w:val="000000"/>
          <w:spacing w:val="-1"/>
          <w:kern w:val="0"/>
          <w:sz w:val="21"/>
          <w:szCs w:val="21"/>
        </w:rPr>
        <w:t>本项目来源于中国出入境检验检疫协会TC12标准化技术委员会批准的团体标准制修订立任务。项目由中检集团天帷信息技术股份有限公司牵头，</w:t>
      </w:r>
      <w:r>
        <w:rPr>
          <w:rFonts w:hint="eastAsia"/>
        </w:rPr>
        <w:t>中国检验认证集团测试技术有限公司、广东颐点科技有限公司、安徽飞数信息科技有限公司、中检集团南方测试股份有限公司、数字安徽有限责任公司、安徽省数据交易所、北京海润天睿（合肥）律师事务所、中检技术服务（深圳）有限公司、上海君澜律师事务所</w:t>
      </w:r>
      <w:r>
        <w:rPr>
          <w:rFonts w:hint="eastAsia" w:asciiTheme="minorEastAsia" w:hAnsiTheme="minorEastAsia" w:eastAsiaTheme="minorEastAsia" w:cstheme="minorEastAsia"/>
          <w:snapToGrid w:val="0"/>
          <w:color w:val="000000"/>
          <w:spacing w:val="-1"/>
          <w:kern w:val="0"/>
          <w:sz w:val="21"/>
          <w:szCs w:val="21"/>
        </w:rPr>
        <w:t>等单位参与。</w:t>
      </w:r>
    </w:p>
    <w:p w14:paraId="3CF705F4">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必要性和意义</w:t>
      </w:r>
    </w:p>
    <w:p w14:paraId="0A5B8203">
      <w:pPr>
        <w:pStyle w:val="3"/>
        <w:spacing w:before="0" w:after="0" w:line="360" w:lineRule="auto"/>
        <w:ind w:firstLine="420" w:firstLineChars="200"/>
        <w:rPr>
          <w:b w:val="0"/>
          <w:bCs/>
          <w:sz w:val="21"/>
          <w:szCs w:val="21"/>
        </w:rPr>
      </w:pPr>
      <w:r>
        <w:rPr>
          <w:rFonts w:hint="eastAsia"/>
          <w:b w:val="0"/>
          <w:bCs/>
          <w:sz w:val="21"/>
          <w:szCs w:val="21"/>
        </w:rPr>
        <w:t>（一）必要性</w:t>
      </w:r>
    </w:p>
    <w:p w14:paraId="11E0F744">
      <w:pPr>
        <w:keepNext w:val="0"/>
        <w:keepLines w:val="0"/>
        <w:pageBreakBefore w:val="0"/>
        <w:widowControl w:val="0"/>
        <w:kinsoku/>
        <w:wordWrap/>
        <w:overflowPunct/>
        <w:topLinePunct w:val="0"/>
        <w:autoSpaceDE/>
        <w:autoSpaceDN/>
        <w:bidi w:val="0"/>
        <w:adjustRightInd/>
        <w:snapToGrid/>
        <w:spacing w:line="360" w:lineRule="auto"/>
        <w:ind w:firstLine="418" w:firstLineChars="200"/>
        <w:jc w:val="both"/>
        <w:textAlignment w:val="auto"/>
        <w:rPr>
          <w:rFonts w:hint="default" w:ascii="宋体" w:hAnsi="宋体" w:eastAsia="宋体" w:cs="宋体"/>
          <w:b/>
          <w:bCs/>
          <w:snapToGrid w:val="0"/>
          <w:color w:val="000000"/>
          <w:spacing w:val="-1"/>
          <w:kern w:val="0"/>
          <w:sz w:val="21"/>
          <w:szCs w:val="21"/>
          <w:lang w:val="en-US" w:eastAsia="zh-CN"/>
        </w:rPr>
      </w:pPr>
      <w:r>
        <w:rPr>
          <w:rFonts w:hint="eastAsia" w:ascii="宋体" w:hAnsi="宋体" w:eastAsia="宋体" w:cs="宋体"/>
          <w:b/>
          <w:bCs/>
          <w:snapToGrid w:val="0"/>
          <w:color w:val="000000"/>
          <w:spacing w:val="-1"/>
          <w:kern w:val="0"/>
          <w:sz w:val="21"/>
          <w:szCs w:val="21"/>
          <w:lang w:val="en-US" w:eastAsia="zh-CN"/>
        </w:rPr>
        <w:t>1、准确评价数据集质量，促进数据要素流通的需要</w:t>
      </w:r>
    </w:p>
    <w:p w14:paraId="78448103">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default" w:ascii="宋体" w:hAnsi="宋体" w:eastAsia="宋体" w:cs="宋体"/>
          <w:snapToGrid w:val="0"/>
          <w:color w:val="000000"/>
          <w:spacing w:val="-1"/>
          <w:kern w:val="0"/>
          <w:sz w:val="21"/>
          <w:szCs w:val="21"/>
          <w:lang w:val="en-US"/>
        </w:rPr>
      </w:pPr>
      <w:r>
        <w:rPr>
          <w:rFonts w:hint="eastAsia" w:ascii="宋体" w:hAnsi="宋体" w:eastAsia="宋体" w:cs="宋体"/>
          <w:snapToGrid w:val="0"/>
          <w:color w:val="000000"/>
          <w:spacing w:val="-1"/>
          <w:kern w:val="0"/>
          <w:sz w:val="21"/>
          <w:szCs w:val="21"/>
          <w:lang w:val="en-US" w:eastAsia="zh-CN"/>
        </w:rPr>
        <w:t>数据质量的高低决定者数据的可靠性、安全性及其价值，为此就需要建立一套有效的数据集质量检验检测方法，为数据集质量检测提供有据可循的模型。随着AI应用向医疗、金融、交通等垂直领域渗透，不同行业对数据集的需求呈现专业化、精细化特征，但统一的检验检测是实现跨行业数据互通的基础。编制团体标准《面向人工智能的数据集通用检验检测要求》，给出</w:t>
      </w:r>
      <w:r>
        <w:rPr>
          <w:rFonts w:hint="eastAsia" w:ascii="Calibri" w:hAnsi="Calibri" w:eastAsia="宋体" w:cs="Times New Roman"/>
          <w:kern w:val="2"/>
          <w:sz w:val="21"/>
          <w:szCs w:val="21"/>
          <w:lang w:val="en-US" w:eastAsia="zh-CN" w:bidi="ar"/>
        </w:rPr>
        <w:t>人工智能数据集质量检验检测的人员要求、操作方法与流程，规范数据集质量检验检测全流程，</w:t>
      </w:r>
      <w:r>
        <w:rPr>
          <w:rFonts w:hint="eastAsia" w:ascii="宋体" w:hAnsi="宋体" w:eastAsia="宋体" w:cs="宋体"/>
          <w:snapToGrid w:val="0"/>
          <w:color w:val="000000"/>
          <w:spacing w:val="-1"/>
          <w:kern w:val="0"/>
          <w:sz w:val="21"/>
          <w:szCs w:val="21"/>
          <w:lang w:val="en-US" w:eastAsia="zh-CN"/>
        </w:rPr>
        <w:t>就是在于通过标准化手段提升数据集的可靠性、安全性和安全性。</w:t>
      </w:r>
    </w:p>
    <w:p w14:paraId="702F96D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18" w:firstLineChars="200"/>
        <w:jc w:val="both"/>
        <w:textAlignment w:val="auto"/>
        <w:rPr>
          <w:rFonts w:hint="eastAsia" w:ascii="宋体" w:hAnsi="宋体" w:eastAsia="宋体" w:cs="宋体"/>
          <w:b/>
          <w:bCs/>
          <w:snapToGrid w:val="0"/>
          <w:color w:val="000000"/>
          <w:spacing w:val="-1"/>
          <w:kern w:val="0"/>
          <w:sz w:val="21"/>
          <w:szCs w:val="21"/>
        </w:rPr>
      </w:pPr>
      <w:r>
        <w:rPr>
          <w:rFonts w:hint="eastAsia" w:ascii="宋体" w:hAnsi="宋体" w:eastAsia="宋体" w:cs="宋体"/>
          <w:b/>
          <w:bCs/>
          <w:snapToGrid w:val="0"/>
          <w:color w:val="000000"/>
          <w:spacing w:val="-1"/>
          <w:kern w:val="0"/>
          <w:sz w:val="21"/>
          <w:szCs w:val="21"/>
        </w:rPr>
        <w:t>支撑AI模型创新与突破的需要</w:t>
      </w:r>
    </w:p>
    <w:p w14:paraId="771659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16" w:firstLineChars="200"/>
        <w:jc w:val="both"/>
        <w:textAlignment w:val="auto"/>
        <w:rPr>
          <w:rFonts w:hint="default" w:ascii="Times New Roman" w:hAnsi="Times New Roman" w:eastAsia="宋体" w:cs="Times New Roman"/>
          <w:snapToGrid w:val="0"/>
          <w:color w:val="000000"/>
          <w:spacing w:val="-1"/>
          <w:kern w:val="0"/>
          <w:sz w:val="21"/>
          <w:szCs w:val="21"/>
        </w:rPr>
      </w:pPr>
      <w:r>
        <w:rPr>
          <w:rFonts w:hint="default" w:ascii="Times New Roman" w:hAnsi="Times New Roman" w:eastAsia="宋体" w:cs="Times New Roman"/>
          <w:snapToGrid w:val="0"/>
          <w:color w:val="000000"/>
          <w:spacing w:val="-1"/>
          <w:kern w:val="0"/>
          <w:sz w:val="21"/>
          <w:szCs w:val="21"/>
        </w:rPr>
        <w:t>随着大模型技术的迅猛发展和算法趋同、算力普及的技术潮流，人工智能发展正经历着由“以模型为中心”向“以数据为中心”的范式迁移，数据质量与规模已成为决定模型性能的核心要素。以OpenAI 为代表的国际领先企业正通过强化微调等技术手段，依托小规模但高度精准、结构化的高质量数据集，实现大模型在垂直领域的专业化和实用化演进。这种“以质取胜”的数据策略显著提升了模型性能与落地能力。面对全球AI竞争的新格局、新趋势，迫切需要建立高质量数据集供给体系，发展出高质量数据集检验检测方法，从大量的数据集中筛选真正有效的高质量数据集，为大模型技术研发和产业化提供方法支撑。</w:t>
      </w:r>
    </w:p>
    <w:p w14:paraId="480A506D">
      <w:pPr>
        <w:pStyle w:val="3"/>
        <w:spacing w:before="0" w:after="0" w:line="360" w:lineRule="auto"/>
        <w:ind w:firstLine="420" w:firstLineChars="200"/>
        <w:rPr>
          <w:b w:val="0"/>
          <w:bCs/>
          <w:sz w:val="21"/>
          <w:szCs w:val="21"/>
        </w:rPr>
      </w:pPr>
      <w:r>
        <w:rPr>
          <w:rFonts w:hint="eastAsia"/>
          <w:b w:val="0"/>
          <w:bCs/>
          <w:sz w:val="21"/>
          <w:szCs w:val="21"/>
        </w:rPr>
        <w:t>（二）目的及意义</w:t>
      </w:r>
    </w:p>
    <w:p w14:paraId="3EE07B90">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高质量数据集是开发和训练人工智能模型的重要支撑，目前还缺乏操作性强、通用易懂的高质量数据集评价操作方法。因此，制订《面向人工智能的数据集通用检验检测要求》团体标准，明确高质量数据集评价的操作流程和操作要求，解决当前数据集质量评价缺乏操作性强的评价方法问题，为高质量数据集判定有据可依提供实践支撑，也是推动高质量数据供给、流通和应用的关键环节。</w:t>
      </w:r>
    </w:p>
    <w:p w14:paraId="41FBC254">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项目编制过程</w:t>
      </w:r>
    </w:p>
    <w:p w14:paraId="41DEA431">
      <w:pPr>
        <w:pStyle w:val="3"/>
        <w:numPr>
          <w:ilvl w:val="0"/>
          <w:numId w:val="3"/>
        </w:numPr>
        <w:spacing w:before="0" w:after="0" w:line="360" w:lineRule="auto"/>
        <w:ind w:firstLine="420" w:firstLineChars="200"/>
        <w:rPr>
          <w:b w:val="0"/>
          <w:bCs/>
          <w:sz w:val="21"/>
          <w:szCs w:val="21"/>
        </w:rPr>
      </w:pPr>
      <w:r>
        <w:rPr>
          <w:rFonts w:hint="eastAsia"/>
          <w:b w:val="0"/>
          <w:bCs/>
          <w:sz w:val="21"/>
          <w:szCs w:val="21"/>
        </w:rPr>
        <w:t>成立标准编制工作组</w:t>
      </w:r>
    </w:p>
    <w:p w14:paraId="6DC44D79">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团体标准《面向人工智能的数据集通用检验检测要求》制订项目任务下达后，</w:t>
      </w:r>
      <w:r>
        <w:rPr>
          <w:rFonts w:hint="eastAsia" w:asciiTheme="minorEastAsia" w:hAnsiTheme="minorEastAsia" w:eastAsiaTheme="minorEastAsia" w:cstheme="minorEastAsia"/>
          <w:snapToGrid w:val="0"/>
          <w:color w:val="000000"/>
          <w:spacing w:val="-1"/>
          <w:kern w:val="0"/>
          <w:sz w:val="21"/>
          <w:szCs w:val="21"/>
        </w:rPr>
        <w:t>中检集团天帷信息技术股份有限公司</w:t>
      </w:r>
      <w:r>
        <w:rPr>
          <w:rFonts w:hint="eastAsia" w:asciiTheme="minorEastAsia" w:hAnsiTheme="minorEastAsia" w:cstheme="minorEastAsia"/>
          <w:snapToGrid w:val="0"/>
          <w:color w:val="000000"/>
          <w:spacing w:val="-1"/>
          <w:kern w:val="0"/>
          <w:sz w:val="21"/>
          <w:szCs w:val="21"/>
          <w:lang w:eastAsia="zh-CN"/>
        </w:rPr>
        <w:t>、</w:t>
      </w:r>
      <w:r>
        <w:rPr>
          <w:rFonts w:hint="eastAsia"/>
        </w:rPr>
        <w:t>中国检验认证集团测试技术有限公司、广东颐点科技有限公司、安徽飞数信息科技有限公司、中检集团南方测试股份有限公司、数字安徽有限责任公司、安徽省数据交易所、北京海润天睿（合肥）律师事务所、中检技术服务（深圳）有限公司、上海君澜律师事务所</w:t>
      </w:r>
      <w:r>
        <w:rPr>
          <w:rFonts w:hint="eastAsia" w:ascii="宋体" w:hAnsi="宋体" w:eastAsia="宋体" w:cs="宋体"/>
          <w:snapToGrid w:val="0"/>
          <w:color w:val="000000"/>
          <w:spacing w:val="-1"/>
          <w:kern w:val="0"/>
          <w:sz w:val="21"/>
          <w:szCs w:val="21"/>
        </w:rPr>
        <w:t>成立了标准编制工作组。标准编制组安排时间进度，明确任务职责，确定工作技术路线，开展标准研制工作。编制工作组下设三个组：资料收集组、草案编写</w:t>
      </w:r>
      <w:bookmarkStart w:id="1" w:name="_GoBack"/>
      <w:bookmarkEnd w:id="1"/>
      <w:r>
        <w:rPr>
          <w:rFonts w:hint="eastAsia" w:ascii="宋体" w:hAnsi="宋体" w:eastAsia="宋体" w:cs="宋体"/>
          <w:snapToGrid w:val="0"/>
          <w:color w:val="000000"/>
          <w:spacing w:val="-1"/>
          <w:kern w:val="0"/>
          <w:sz w:val="21"/>
          <w:szCs w:val="21"/>
        </w:rPr>
        <w:t>组和标准实施组。</w:t>
      </w:r>
    </w:p>
    <w:p w14:paraId="66265ED7">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草案编写组：负责标准草案、征求意见稿和标准编制说明、送审稿的编写工作，及后期召开征求意见会、网上征求意见，以及标准的不断修改和完善。</w:t>
      </w:r>
    </w:p>
    <w:p w14:paraId="6DD3E3C6">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资料收集组：负责国内外有关高质量数据集检验检测的文献资料查询、收集和整理工作。</w:t>
      </w:r>
    </w:p>
    <w:p w14:paraId="41A70065">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标准实施组：负责团体标准《面向人工智能的数据集通用检验检测要求》发布后，组织开展标准宣贯培训会，对标准进行详细解读，让相关人员了解标准，并对标准实施情况进行总结分析，不断迭代更新本团体标准。</w:t>
      </w:r>
    </w:p>
    <w:p w14:paraId="2830486D">
      <w:pPr>
        <w:pStyle w:val="4"/>
        <w:numPr>
          <w:ilvl w:val="0"/>
          <w:numId w:val="3"/>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资料收集、调查研究分析</w:t>
      </w:r>
    </w:p>
    <w:p w14:paraId="322527CB">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收集国内外相关的法律法规和技术标准，掌握国内外关于高质量数据集检验检测的案例、研究及相关标准研究成果，了解其发展趋势和动向。</w:t>
      </w:r>
    </w:p>
    <w:p w14:paraId="54832A61">
      <w:pPr>
        <w:pStyle w:val="4"/>
        <w:numPr>
          <w:ilvl w:val="0"/>
          <w:numId w:val="3"/>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研讨确定标准主体内容</w:t>
      </w:r>
    </w:p>
    <w:p w14:paraId="5D1C09A6">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标准编制工作组在对收集的资料进行整理研究后，标准编制工作组召 开了标准编制会议，对标准的整体框架及标准的关键性问题进行初步研究 探讨。经过研究，标准的主体内容为人员要求、操作方法与流程方面内容。</w:t>
      </w:r>
    </w:p>
    <w:p w14:paraId="400480E1">
      <w:pPr>
        <w:pStyle w:val="4"/>
        <w:numPr>
          <w:ilvl w:val="0"/>
          <w:numId w:val="3"/>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调研、形成文本草案、征求意见稿</w:t>
      </w:r>
    </w:p>
    <w:p w14:paraId="446772CE">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2024.12～2025.07，标准起草工作小组进行了查阅了大量的国内外文献资料，对高质量数据集的应用及检验检测流程进行系统总结。结合调研，理清逻辑脉络，借鉴已有的参考资料中有关高标准数据集的内容，按照简化、统一等原则，经编制工作组反复讨论，形成了标准的基本构架，编制完成了团体标准《面向人工智能的数据集通用检验检测要求》（草案）。</w:t>
      </w:r>
    </w:p>
    <w:p w14:paraId="4CCAE0B1">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2025.07～至今，标准编制工作组邀请相关单位、企业代表等进行座谈讨论，根据意见进行多次讨论修改形成团体标准《面向人工智能的数据集通用检验检测要求》（征求意见稿）及编制说明。</w:t>
      </w:r>
    </w:p>
    <w:p w14:paraId="68C4D65D">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标准制定的原则</w:t>
      </w:r>
    </w:p>
    <w:p w14:paraId="53C46D78">
      <w:pPr>
        <w:pStyle w:val="4"/>
        <w:numPr>
          <w:ilvl w:val="0"/>
          <w:numId w:val="4"/>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实用性原则</w:t>
      </w:r>
    </w:p>
    <w:p w14:paraId="3DE62058">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本标准在编制过程中就注重指标体系的实用性和可操作性，一方面是充分吸取《中共中央 国务院关于构建数据基础制度更好发挥数据要素作用的意见》、《“数据要素×”三年行动计划（2024—2026年）》等政策文件精神，以政策文件指导具体实践，另一方面是充分收集相关资料和文献，调研分析数据术语和数据质量评价的标准规范，将实用性强、可用性高的指标纳入到指标体系框架中；最后是吸收编制单位中检集团天帷信息技术股份有限公司、中国检验认证集团测试技术有限公司、广东颐点科技有限公司、安徽飞数信息科技有限公司等多家单位的案例实例，将实践经验纳入到指标体系构建中。</w:t>
      </w:r>
    </w:p>
    <w:p w14:paraId="3BCAE717">
      <w:pPr>
        <w:pStyle w:val="4"/>
        <w:numPr>
          <w:ilvl w:val="0"/>
          <w:numId w:val="4"/>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协调性原则</w:t>
      </w:r>
    </w:p>
    <w:p w14:paraId="58A0CC46">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本标准编写过程中注意了与个人信息保护、数据安全保护相关法律法规的协调问题，在内容上与现行法律法规、标准协调一致。</w:t>
      </w:r>
    </w:p>
    <w:p w14:paraId="20096B47">
      <w:pPr>
        <w:pStyle w:val="4"/>
        <w:numPr>
          <w:ilvl w:val="0"/>
          <w:numId w:val="4"/>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规范性原则</w:t>
      </w:r>
    </w:p>
    <w:p w14:paraId="2FDB4337">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本标准严格按照 GB/T 1.1—2020《标准化工作导则  第 1 部分：标准 化文件的结构和起草规则》的要求和规定，保证标准的编写质量。</w:t>
      </w:r>
    </w:p>
    <w:p w14:paraId="171F18B9">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标准主要内容及依据来源</w:t>
      </w:r>
    </w:p>
    <w:p w14:paraId="7E140E8F">
      <w:pPr>
        <w:pStyle w:val="4"/>
        <w:numPr>
          <w:ilvl w:val="0"/>
          <w:numId w:val="5"/>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主要内容</w:t>
      </w:r>
    </w:p>
    <w:p w14:paraId="1775E744">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文件规定了人工智能数据集质量检验检测的人员要求、操作方法与流程，适用于指导数据服务需求方对人工智能数据集进行质量管理引导与选型支撑，也可作为数据提供方衡量自身数据集质量管控能力的标准依据。</w:t>
      </w:r>
    </w:p>
    <w:p w14:paraId="1BB4F862">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《面向人工智能的数据集通用检验检测要求》涵盖完整性、规范性、准确性等14个一级指标35个二级指标的</w:t>
      </w:r>
      <w:r>
        <w:rPr>
          <w:rFonts w:hint="eastAsia" w:ascii="宋体" w:hAnsi="宋体" w:eastAsia="宋体" w:cs="宋体"/>
          <w:snapToGrid w:val="0"/>
          <w:color w:val="000000"/>
          <w:spacing w:val="-1"/>
          <w:kern w:val="0"/>
          <w:sz w:val="21"/>
          <w:szCs w:val="21"/>
          <w:lang w:val="en-US" w:eastAsia="zh-CN"/>
        </w:rPr>
        <w:t>通用</w:t>
      </w:r>
      <w:r>
        <w:rPr>
          <w:rFonts w:hint="eastAsia" w:ascii="宋体" w:hAnsi="宋体" w:eastAsia="宋体" w:cs="宋体"/>
          <w:snapToGrid w:val="0"/>
          <w:color w:val="000000"/>
          <w:spacing w:val="-1"/>
          <w:kern w:val="0"/>
          <w:sz w:val="21"/>
          <w:szCs w:val="21"/>
        </w:rPr>
        <w:t>指标</w:t>
      </w:r>
      <w:r>
        <w:rPr>
          <w:rFonts w:hint="eastAsia" w:ascii="宋体" w:hAnsi="宋体" w:eastAsia="宋体" w:cs="宋体"/>
          <w:snapToGrid w:val="0"/>
          <w:color w:val="000000"/>
          <w:spacing w:val="-1"/>
          <w:kern w:val="0"/>
          <w:sz w:val="21"/>
          <w:szCs w:val="21"/>
          <w:lang w:val="en-US" w:eastAsia="zh-CN"/>
        </w:rPr>
        <w:t>框架</w:t>
      </w:r>
      <w:r>
        <w:rPr>
          <w:rFonts w:hint="eastAsia" w:ascii="宋体" w:hAnsi="宋体" w:eastAsia="宋体" w:cs="宋体"/>
          <w:snapToGrid w:val="0"/>
          <w:color w:val="000000"/>
          <w:spacing w:val="-1"/>
          <w:kern w:val="0"/>
          <w:sz w:val="21"/>
          <w:szCs w:val="21"/>
        </w:rPr>
        <w:t>，提出定量、定性及综合结合的检验方法，并明确六步标准化流程（需求定义→框架构建→任务配置→执行检测→数据修复→持续监控）。</w:t>
      </w:r>
    </w:p>
    <w:p w14:paraId="175FBF04">
      <w:pPr>
        <w:pStyle w:val="4"/>
        <w:numPr>
          <w:ilvl w:val="0"/>
          <w:numId w:val="5"/>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依据来源</w:t>
      </w:r>
    </w:p>
    <w:p w14:paraId="011735FD">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团体标准所涉及的数据集通用检验检测要求包括指标体系构建、人员要求、操作方法与流程。指标体系构建是继承本项目组承担的团体标准《高质量数据集检验检测指标体系要求》中所选取构建的指标体系。人员要求、操作方法和流程，则是借鉴论文文献《数据要素市场中高质量数据集评价指标体系建设研究》、国家标准《GB/T 45288.2-2025  人工智能  大模型 第2部分：评测指标与方法》等权威文献，并结合标准参编单位的实践经验，以及其他单位专家所提出的意见建议而形成的。</w:t>
      </w:r>
    </w:p>
    <w:p w14:paraId="39AE4F3E">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引进相关的国家标准、地方标准和相关资料。具体如下：</w:t>
      </w:r>
    </w:p>
    <w:p w14:paraId="7B9F4DA7">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本标准的修改编写格式根据GB/T 1.1-2020《标准化工作导则  第1部 分：标准化文件的结构和起草规则》的规定，内容和要求参考了相关法律法规，本文件规范性引用文件具体如下所示：</w:t>
      </w:r>
    </w:p>
    <w:p w14:paraId="4CFDC4F4">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GB/T 5271.1-2000</w:t>
      </w:r>
      <w:r>
        <w:rPr>
          <w:rFonts w:hint="eastAsia" w:ascii="宋体" w:hAnsi="宋体" w:eastAsia="宋体" w:cs="宋体"/>
          <w:snapToGrid w:val="0"/>
          <w:color w:val="000000"/>
          <w:spacing w:val="-1"/>
          <w:kern w:val="0"/>
          <w:sz w:val="21"/>
          <w:szCs w:val="21"/>
        </w:rPr>
        <w:tab/>
      </w:r>
      <w:r>
        <w:rPr>
          <w:rFonts w:hint="eastAsia" w:ascii="宋体" w:hAnsi="宋体" w:eastAsia="宋体" w:cs="宋体"/>
          <w:snapToGrid w:val="0"/>
          <w:color w:val="000000"/>
          <w:spacing w:val="-1"/>
          <w:kern w:val="0"/>
          <w:sz w:val="21"/>
          <w:szCs w:val="21"/>
          <w:lang w:val="en-US" w:eastAsia="zh-CN"/>
        </w:rPr>
        <w:t xml:space="preserve">  </w:t>
      </w:r>
      <w:r>
        <w:rPr>
          <w:rFonts w:hint="eastAsia" w:ascii="宋体" w:hAnsi="宋体" w:eastAsia="宋体" w:cs="宋体"/>
          <w:snapToGrid w:val="0"/>
          <w:color w:val="000000"/>
          <w:spacing w:val="-1"/>
          <w:kern w:val="0"/>
          <w:sz w:val="21"/>
          <w:szCs w:val="21"/>
        </w:rPr>
        <w:t>信息技术词汇 第1部分：基本术语</w:t>
      </w:r>
    </w:p>
    <w:p w14:paraId="1E7997C7">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GB/T 35295-2017</w:t>
      </w:r>
      <w:r>
        <w:rPr>
          <w:rFonts w:hint="eastAsia" w:ascii="宋体" w:hAnsi="宋体" w:eastAsia="宋体" w:cs="宋体"/>
          <w:snapToGrid w:val="0"/>
          <w:color w:val="000000"/>
          <w:spacing w:val="-1"/>
          <w:kern w:val="0"/>
          <w:sz w:val="21"/>
          <w:szCs w:val="21"/>
        </w:rPr>
        <w:tab/>
      </w:r>
      <w:r>
        <w:rPr>
          <w:rFonts w:hint="eastAsia" w:ascii="宋体" w:hAnsi="宋体" w:eastAsia="宋体" w:cs="宋体"/>
          <w:snapToGrid w:val="0"/>
          <w:color w:val="000000"/>
          <w:spacing w:val="-1"/>
          <w:kern w:val="0"/>
          <w:sz w:val="21"/>
          <w:szCs w:val="21"/>
          <w:lang w:val="en-US" w:eastAsia="zh-CN"/>
        </w:rPr>
        <w:t xml:space="preserve">  </w:t>
      </w:r>
      <w:r>
        <w:rPr>
          <w:rFonts w:hint="eastAsia" w:ascii="宋体" w:hAnsi="宋体" w:eastAsia="宋体" w:cs="宋体"/>
          <w:snapToGrid w:val="0"/>
          <w:color w:val="000000"/>
          <w:spacing w:val="-1"/>
          <w:kern w:val="0"/>
          <w:sz w:val="21"/>
          <w:szCs w:val="21"/>
        </w:rPr>
        <w:t>信息技术 大数据 术语</w:t>
      </w:r>
    </w:p>
    <w:p w14:paraId="1A50BEA7">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GB/T 36344-2018</w:t>
      </w:r>
      <w:r>
        <w:rPr>
          <w:rFonts w:hint="eastAsia" w:ascii="宋体" w:hAnsi="宋体" w:eastAsia="宋体" w:cs="宋体"/>
          <w:snapToGrid w:val="0"/>
          <w:color w:val="000000"/>
          <w:spacing w:val="-1"/>
          <w:kern w:val="0"/>
          <w:sz w:val="21"/>
          <w:szCs w:val="21"/>
        </w:rPr>
        <w:tab/>
      </w:r>
      <w:r>
        <w:rPr>
          <w:rFonts w:hint="eastAsia" w:ascii="宋体" w:hAnsi="宋体" w:eastAsia="宋体" w:cs="宋体"/>
          <w:snapToGrid w:val="0"/>
          <w:color w:val="000000"/>
          <w:spacing w:val="-1"/>
          <w:kern w:val="0"/>
          <w:sz w:val="21"/>
          <w:szCs w:val="21"/>
          <w:lang w:val="en-US" w:eastAsia="zh-CN"/>
        </w:rPr>
        <w:t xml:space="preserve">  </w:t>
      </w:r>
      <w:r>
        <w:rPr>
          <w:rFonts w:hint="eastAsia" w:ascii="宋体" w:hAnsi="宋体" w:eastAsia="宋体" w:cs="宋体"/>
          <w:snapToGrid w:val="0"/>
          <w:color w:val="000000"/>
          <w:spacing w:val="-1"/>
          <w:kern w:val="0"/>
          <w:sz w:val="21"/>
          <w:szCs w:val="21"/>
        </w:rPr>
        <w:t>信息技术数据质量评价指标</w:t>
      </w:r>
    </w:p>
    <w:p w14:paraId="0D6C835E">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GB/T44881-2024</w:t>
      </w:r>
      <w:r>
        <w:rPr>
          <w:rFonts w:hint="eastAsia" w:ascii="宋体" w:hAnsi="宋体" w:eastAsia="宋体" w:cs="宋体"/>
          <w:snapToGrid w:val="0"/>
          <w:color w:val="000000"/>
          <w:spacing w:val="-1"/>
          <w:kern w:val="0"/>
          <w:sz w:val="21"/>
          <w:szCs w:val="21"/>
        </w:rPr>
        <w:tab/>
      </w:r>
      <w:r>
        <w:rPr>
          <w:rFonts w:hint="eastAsia" w:ascii="宋体" w:hAnsi="宋体" w:eastAsia="宋体" w:cs="宋体"/>
          <w:snapToGrid w:val="0"/>
          <w:color w:val="000000"/>
          <w:spacing w:val="-1"/>
          <w:kern w:val="0"/>
          <w:sz w:val="21"/>
          <w:szCs w:val="21"/>
          <w:lang w:val="en-US" w:eastAsia="zh-CN"/>
        </w:rPr>
        <w:t xml:space="preserve">   </w:t>
      </w:r>
      <w:r>
        <w:rPr>
          <w:rFonts w:hint="eastAsia" w:ascii="宋体" w:hAnsi="宋体" w:eastAsia="宋体" w:cs="宋体"/>
          <w:snapToGrid w:val="0"/>
          <w:color w:val="000000"/>
          <w:spacing w:val="-1"/>
          <w:kern w:val="0"/>
          <w:sz w:val="21"/>
          <w:szCs w:val="21"/>
        </w:rPr>
        <w:t>物联网数据质量评价方法</w:t>
      </w:r>
    </w:p>
    <w:p w14:paraId="4614DC14">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GB/T 45288.1-2025</w:t>
      </w:r>
      <w:r>
        <w:rPr>
          <w:rFonts w:hint="eastAsia" w:ascii="宋体" w:hAnsi="宋体" w:eastAsia="宋体" w:cs="宋体"/>
          <w:snapToGrid w:val="0"/>
          <w:color w:val="000000"/>
          <w:spacing w:val="-1"/>
          <w:kern w:val="0"/>
          <w:sz w:val="21"/>
          <w:szCs w:val="21"/>
          <w:lang w:val="en-US" w:eastAsia="zh-CN"/>
        </w:rPr>
        <w:t xml:space="preserve">  </w:t>
      </w:r>
      <w:r>
        <w:rPr>
          <w:rFonts w:hint="eastAsia" w:ascii="宋体" w:hAnsi="宋体" w:eastAsia="宋体" w:cs="宋体"/>
          <w:snapToGrid w:val="0"/>
          <w:color w:val="000000"/>
          <w:spacing w:val="-1"/>
          <w:kern w:val="0"/>
          <w:sz w:val="21"/>
          <w:szCs w:val="21"/>
        </w:rPr>
        <w:t>人工智能 大模型 第1部分：通用要求</w:t>
      </w:r>
    </w:p>
    <w:p w14:paraId="4F9D955E">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GB/T 45288.2-2025</w:t>
      </w:r>
      <w:r>
        <w:rPr>
          <w:rFonts w:hint="eastAsia" w:ascii="宋体" w:hAnsi="宋体" w:eastAsia="宋体" w:cs="宋体"/>
          <w:snapToGrid w:val="0"/>
          <w:color w:val="000000"/>
          <w:spacing w:val="-1"/>
          <w:kern w:val="0"/>
          <w:sz w:val="21"/>
          <w:szCs w:val="21"/>
          <w:lang w:val="en-US" w:eastAsia="zh-CN"/>
        </w:rPr>
        <w:t xml:space="preserve">  </w:t>
      </w:r>
      <w:r>
        <w:rPr>
          <w:rFonts w:hint="eastAsia" w:ascii="宋体" w:hAnsi="宋体" w:eastAsia="宋体" w:cs="宋体"/>
          <w:snapToGrid w:val="0"/>
          <w:color w:val="000000"/>
          <w:spacing w:val="-1"/>
          <w:kern w:val="0"/>
          <w:sz w:val="21"/>
          <w:szCs w:val="21"/>
        </w:rPr>
        <w:t>人工智能 大模型 第2部分：评测指标与方法</w:t>
      </w:r>
    </w:p>
    <w:p w14:paraId="6860DBB3">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国内同类标准制修订情况及与法律法规、强制性标准关系</w:t>
      </w:r>
    </w:p>
    <w:p w14:paraId="70E6072F">
      <w:pPr>
        <w:pStyle w:val="4"/>
        <w:numPr>
          <w:ilvl w:val="0"/>
          <w:numId w:val="6"/>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国内同类标准制修订情况</w:t>
      </w:r>
    </w:p>
    <w:p w14:paraId="3923170B">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left"/>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国外在数据质量领域已形成较为完善的标准体系，如ISO 8000系列、NIST的AI风险管理框架（RMF）和欧盟GDPR等，强调数据准确性、安全性和可追溯性，并通过技术驱动（如自动化检验检测工具）与政策协同推动应用。国内则依托《信息技术 数据质量评价指标》（GB/T 36344）等国家标准和“数据要素×”“人工智能+”等政策，构建了涵盖合规性、内容质量及动态治理的规范框架，与《人工智能训练数据集质量要求与检测方法》在指标设计（如完整性、一致性等）、流程管理及价值检验检测（经济效益、安全性）等方面紧密关联，既兼容国际标准，又结合本土需求扩展了场景化创新与治理维度。</w:t>
      </w:r>
    </w:p>
    <w:p w14:paraId="40A7C46D">
      <w:pPr>
        <w:pStyle w:val="4"/>
        <w:numPr>
          <w:ilvl w:val="0"/>
          <w:numId w:val="6"/>
        </w:numPr>
        <w:spacing w:before="1" w:line="216" w:lineRule="auto"/>
        <w:ind w:firstLine="420" w:firstLineChars="200"/>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与法律法规、强制性标准的关系</w:t>
      </w:r>
    </w:p>
    <w:p w14:paraId="2996D89B">
      <w:pPr>
        <w:pStyle w:val="4"/>
        <w:keepNext w:val="0"/>
        <w:keepLines w:val="0"/>
        <w:pageBreakBefore w:val="0"/>
        <w:widowControl w:val="0"/>
        <w:kinsoku/>
        <w:wordWrap/>
        <w:overflowPunct/>
        <w:topLinePunct w:val="0"/>
        <w:autoSpaceDE/>
        <w:autoSpaceDN/>
        <w:bidi w:val="0"/>
        <w:adjustRightInd/>
        <w:snapToGrid/>
        <w:spacing w:line="360" w:lineRule="auto"/>
        <w:ind w:firstLine="404" w:firstLineChars="200"/>
        <w:textAlignment w:val="auto"/>
        <w:rPr>
          <w:rFonts w:hint="eastAsia" w:ascii="宋体" w:hAnsi="宋体" w:eastAsia="宋体" w:cs="宋体"/>
          <w:sz w:val="21"/>
          <w:szCs w:val="21"/>
          <w:lang w:eastAsia="zh-CN"/>
        </w:rPr>
      </w:pPr>
      <w:r>
        <w:rPr>
          <w:rFonts w:hint="eastAsia" w:ascii="宋体" w:hAnsi="宋体" w:eastAsia="宋体" w:cs="宋体"/>
          <w:spacing w:val="-4"/>
          <w:sz w:val="21"/>
          <w:szCs w:val="21"/>
          <w:lang w:eastAsia="zh-CN"/>
        </w:rPr>
        <w:t>（1）与法律法规的协调情况</w:t>
      </w:r>
    </w:p>
    <w:p w14:paraId="70DAC5E0">
      <w:pPr>
        <w:pStyle w:val="4"/>
        <w:keepNext w:val="0"/>
        <w:keepLines w:val="0"/>
        <w:pageBreakBefore w:val="0"/>
        <w:widowControl w:val="0"/>
        <w:kinsoku/>
        <w:wordWrap/>
        <w:overflowPunct/>
        <w:topLinePunct w:val="0"/>
        <w:autoSpaceDE/>
        <w:autoSpaceDN/>
        <w:bidi w:val="0"/>
        <w:adjustRightInd/>
        <w:snapToGrid/>
        <w:spacing w:line="360" w:lineRule="auto"/>
        <w:ind w:firstLine="416" w:firstLineChars="200"/>
        <w:textAlignment w:val="auto"/>
        <w:rPr>
          <w:rFonts w:hint="eastAsia" w:ascii="宋体" w:hAnsi="宋体" w:eastAsia="宋体" w:cs="宋体"/>
          <w:sz w:val="21"/>
          <w:szCs w:val="21"/>
          <w:lang w:eastAsia="zh-CN"/>
        </w:rPr>
      </w:pPr>
      <w:r>
        <w:rPr>
          <w:rFonts w:hint="eastAsia" w:ascii="宋体" w:hAnsi="宋体" w:eastAsia="宋体" w:cs="宋体"/>
          <w:spacing w:val="-1"/>
          <w:sz w:val="21"/>
          <w:szCs w:val="21"/>
          <w:lang w:eastAsia="zh-CN"/>
        </w:rPr>
        <w:t>本标准与现行法律、法规和强制性国家标准没有冲突。标准的编写符</w:t>
      </w:r>
      <w:r>
        <w:rPr>
          <w:rFonts w:hint="eastAsia" w:ascii="宋体" w:hAnsi="宋体" w:eastAsia="宋体" w:cs="宋体"/>
          <w:spacing w:val="-5"/>
          <w:sz w:val="21"/>
          <w:szCs w:val="21"/>
          <w:lang w:eastAsia="zh-CN"/>
        </w:rPr>
        <w:t>合GB/T</w:t>
      </w:r>
      <w:r>
        <w:rPr>
          <w:rFonts w:hint="eastAsia" w:ascii="宋体" w:hAnsi="宋体" w:eastAsia="宋体" w:cs="宋体"/>
          <w:spacing w:val="28"/>
          <w:sz w:val="21"/>
          <w:szCs w:val="21"/>
          <w:lang w:eastAsia="zh-CN"/>
        </w:rPr>
        <w:t xml:space="preserve"> </w:t>
      </w:r>
      <w:r>
        <w:rPr>
          <w:rFonts w:hint="eastAsia" w:ascii="宋体" w:hAnsi="宋体" w:eastAsia="宋体" w:cs="宋体"/>
          <w:spacing w:val="-5"/>
          <w:sz w:val="21"/>
          <w:szCs w:val="21"/>
          <w:lang w:eastAsia="zh-CN"/>
        </w:rPr>
        <w:t>1.1—2020的要求。</w:t>
      </w:r>
    </w:p>
    <w:p w14:paraId="30E297D1">
      <w:pPr>
        <w:pStyle w:val="4"/>
        <w:keepNext w:val="0"/>
        <w:keepLines w:val="0"/>
        <w:pageBreakBefore w:val="0"/>
        <w:widowControl w:val="0"/>
        <w:kinsoku/>
        <w:wordWrap/>
        <w:overflowPunct/>
        <w:topLinePunct w:val="0"/>
        <w:autoSpaceDE/>
        <w:autoSpaceDN/>
        <w:bidi w:val="0"/>
        <w:adjustRightInd/>
        <w:snapToGrid/>
        <w:spacing w:line="360" w:lineRule="auto"/>
        <w:ind w:firstLine="404" w:firstLineChars="200"/>
        <w:textAlignment w:val="auto"/>
        <w:rPr>
          <w:rFonts w:hint="eastAsia" w:ascii="宋体" w:hAnsi="宋体" w:eastAsia="宋体" w:cs="宋体"/>
          <w:sz w:val="21"/>
          <w:szCs w:val="21"/>
          <w:lang w:eastAsia="zh-CN"/>
        </w:rPr>
      </w:pPr>
      <w:r>
        <w:rPr>
          <w:rFonts w:hint="eastAsia" w:ascii="宋体" w:hAnsi="宋体" w:eastAsia="宋体" w:cs="宋体"/>
          <w:spacing w:val="-4"/>
          <w:sz w:val="21"/>
          <w:szCs w:val="21"/>
          <w:lang w:eastAsia="zh-CN"/>
        </w:rPr>
        <w:t>（2）标准查询情况及区别</w:t>
      </w:r>
    </w:p>
    <w:p w14:paraId="62A3D078">
      <w:pPr>
        <w:pStyle w:val="4"/>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经查询，没有与该标准名称类似的国家标准、行业标准或地方标准。</w:t>
      </w:r>
    </w:p>
    <w:p w14:paraId="3A4301FF">
      <w:pPr>
        <w:pStyle w:val="2"/>
        <w:numPr>
          <w:ilvl w:val="0"/>
          <w:numId w:val="1"/>
        </w:numPr>
        <w:spacing w:before="0" w:after="0" w:line="360" w:lineRule="auto"/>
        <w:ind w:firstLine="420" w:firstLineChars="200"/>
        <w:rPr>
          <w:rFonts w:hint="eastAsia" w:ascii="黑体" w:hAnsi="黑体" w:eastAsia="黑体" w:cs="黑体"/>
          <w:b w:val="0"/>
          <w:bCs/>
          <w:sz w:val="21"/>
          <w:szCs w:val="21"/>
        </w:rPr>
      </w:pPr>
      <w:r>
        <w:rPr>
          <w:rFonts w:hint="eastAsia" w:ascii="黑体" w:hAnsi="黑体" w:eastAsia="黑体" w:cs="黑体"/>
          <w:b w:val="0"/>
          <w:bCs/>
          <w:sz w:val="21"/>
          <w:szCs w:val="21"/>
        </w:rPr>
        <w:t>重大分歧意见的处理经过和依据</w:t>
      </w:r>
    </w:p>
    <w:p w14:paraId="2D30C76F">
      <w:pPr>
        <w:keepNext w:val="0"/>
        <w:keepLines w:val="0"/>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本标准研制过程中无重大分歧意见。</w:t>
      </w:r>
    </w:p>
    <w:p w14:paraId="6DEF183B">
      <w:pPr>
        <w:snapToGrid w:val="0"/>
        <w:spacing w:line="360" w:lineRule="auto"/>
        <w:jc w:val="left"/>
        <w:rPr>
          <w:rFonts w:hint="eastAsia" w:ascii="仿宋" w:hAnsi="仿宋" w:eastAsia="仿宋" w:cs="仿宋"/>
          <w:snapToGrid w:val="0"/>
          <w:color w:val="000000"/>
          <w:spacing w:val="-1"/>
          <w:kern w:val="0"/>
          <w:sz w:val="21"/>
          <w:szCs w:val="21"/>
        </w:rPr>
      </w:pPr>
    </w:p>
    <w:p w14:paraId="6F8DC10D">
      <w:pPr>
        <w:pStyle w:val="4"/>
        <w:widowControl/>
        <w:kinsoku w:val="0"/>
        <w:autoSpaceDE w:val="0"/>
        <w:autoSpaceDN w:val="0"/>
        <w:adjustRightInd w:val="0"/>
        <w:snapToGrid w:val="0"/>
        <w:spacing w:before="92" w:line="370" w:lineRule="auto"/>
        <w:ind w:right="278"/>
        <w:jc w:val="right"/>
        <w:textAlignment w:val="baseline"/>
        <w:rPr>
          <w:rFonts w:hint="eastAsia" w:ascii="宋体" w:hAnsi="宋体" w:eastAsia="宋体" w:cs="宋体"/>
          <w:snapToGrid w:val="0"/>
          <w:color w:val="000000"/>
          <w:spacing w:val="-2"/>
          <w:kern w:val="0"/>
          <w:sz w:val="21"/>
          <w:szCs w:val="21"/>
          <w:lang w:eastAsia="zh-CN"/>
        </w:rPr>
      </w:pPr>
      <w:r>
        <w:rPr>
          <w:rFonts w:hint="eastAsia" w:ascii="宋体" w:hAnsi="宋体" w:eastAsia="宋体" w:cs="宋体"/>
          <w:snapToGrid w:val="0"/>
          <w:color w:val="000000"/>
          <w:spacing w:val="-2"/>
          <w:kern w:val="0"/>
          <w:sz w:val="21"/>
          <w:szCs w:val="21"/>
          <w:lang w:eastAsia="zh-CN"/>
        </w:rPr>
        <w:t>团体标准《面向人工智能的数据集通用检验检测要求》</w:t>
      </w:r>
    </w:p>
    <w:p w14:paraId="351FFCD8">
      <w:pPr>
        <w:pStyle w:val="4"/>
        <w:widowControl/>
        <w:kinsoku w:val="0"/>
        <w:autoSpaceDE w:val="0"/>
        <w:autoSpaceDN w:val="0"/>
        <w:adjustRightInd w:val="0"/>
        <w:snapToGrid w:val="0"/>
        <w:spacing w:before="92" w:line="370" w:lineRule="auto"/>
        <w:ind w:left="5862" w:right="278" w:hanging="2923"/>
        <w:jc w:val="right"/>
        <w:textAlignment w:val="baseline"/>
        <w:rPr>
          <w:rFonts w:hint="eastAsia"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2"/>
          <w:kern w:val="0"/>
          <w:sz w:val="21"/>
          <w:szCs w:val="21"/>
        </w:rPr>
        <w:t>编制工作组</w:t>
      </w:r>
    </w:p>
    <w:p w14:paraId="5AF45F7D">
      <w:pPr>
        <w:pStyle w:val="4"/>
        <w:widowControl/>
        <w:kinsoku w:val="0"/>
        <w:autoSpaceDE w:val="0"/>
        <w:autoSpaceDN w:val="0"/>
        <w:adjustRightInd w:val="0"/>
        <w:snapToGrid w:val="0"/>
        <w:spacing w:before="92" w:line="370" w:lineRule="auto"/>
        <w:ind w:left="5862" w:right="278" w:hanging="2923"/>
        <w:jc w:val="right"/>
        <w:textAlignment w:val="baseline"/>
        <w:rPr>
          <w:rFonts w:hint="eastAsia" w:ascii="宋体" w:hAnsi="宋体" w:eastAsia="宋体" w:cs="宋体"/>
          <w:snapToGrid w:val="0"/>
          <w:color w:val="000000"/>
          <w:spacing w:val="-1"/>
          <w:kern w:val="0"/>
          <w:sz w:val="21"/>
          <w:szCs w:val="21"/>
          <w:lang w:eastAsia="zh-CN"/>
        </w:rPr>
      </w:pPr>
      <w:r>
        <w:rPr>
          <w:rFonts w:hint="eastAsia" w:ascii="宋体" w:hAnsi="宋体" w:eastAsia="宋体" w:cs="宋体"/>
          <w:snapToGrid w:val="0"/>
          <w:color w:val="000000"/>
          <w:spacing w:val="-2"/>
          <w:kern w:val="0"/>
          <w:sz w:val="21"/>
          <w:szCs w:val="21"/>
        </w:rPr>
        <w:t>2025年8月</w:t>
      </w:r>
      <w:r>
        <w:rPr>
          <w:rFonts w:hint="eastAsia" w:ascii="宋体" w:hAnsi="宋体" w:eastAsia="宋体" w:cs="宋体"/>
          <w:snapToGrid w:val="0"/>
          <w:color w:val="000000"/>
          <w:spacing w:val="-2"/>
          <w:kern w:val="0"/>
          <w:sz w:val="21"/>
          <w:szCs w:val="21"/>
          <w:lang w:val="en-US" w:eastAsia="zh-CN"/>
        </w:rPr>
        <w:t>26</w:t>
      </w:r>
      <w:r>
        <w:rPr>
          <w:rFonts w:hint="eastAsia" w:ascii="宋体" w:hAnsi="宋体" w:eastAsia="宋体" w:cs="宋体"/>
          <w:snapToGrid w:val="0"/>
          <w:color w:val="000000"/>
          <w:spacing w:val="-2"/>
          <w:kern w:val="0"/>
          <w:sz w:val="21"/>
          <w:szCs w:val="21"/>
        </w:rPr>
        <w:t>日</w:t>
      </w:r>
    </w:p>
    <w:sectPr>
      <w:footerReference r:id="rId3" w:type="default"/>
      <w:pgSz w:w="11906" w:h="16838"/>
      <w:pgMar w:top="1429" w:right="1344" w:bottom="1174" w:left="142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63529">
    <w:pPr>
      <w:spacing w:line="236" w:lineRule="auto"/>
      <w:ind w:left="4486"/>
      <w:rPr>
        <w:rFonts w:ascii="Calibri" w:hAnsi="Calibri" w:eastAsia="Calibri" w:cs="Calibri"/>
        <w:sz w:val="18"/>
        <w:szCs w:val="18"/>
      </w:rPr>
    </w:pPr>
    <w:r>
      <w:rPr>
        <w:rFonts w:ascii="Calibri" w:hAnsi="Calibri" w:eastAsia="Calibri" w:cs="Calibri"/>
        <w:sz w:val="18"/>
        <w:szCs w:val="18"/>
      </w:rPr>
      <w:t>5</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C245E"/>
    <w:multiLevelType w:val="singleLevel"/>
    <w:tmpl w:val="928C245E"/>
    <w:lvl w:ilvl="0" w:tentative="0">
      <w:start w:val="1"/>
      <w:numFmt w:val="chineseCounting"/>
      <w:suff w:val="nothing"/>
      <w:lvlText w:val="%1、"/>
      <w:lvlJc w:val="left"/>
      <w:rPr>
        <w:rFonts w:hint="eastAsia"/>
      </w:rPr>
    </w:lvl>
  </w:abstractNum>
  <w:abstractNum w:abstractNumId="1">
    <w:nsid w:val="D94BAD16"/>
    <w:multiLevelType w:val="singleLevel"/>
    <w:tmpl w:val="D94BAD16"/>
    <w:lvl w:ilvl="0" w:tentative="0">
      <w:start w:val="1"/>
      <w:numFmt w:val="chineseCounting"/>
      <w:suff w:val="nothing"/>
      <w:lvlText w:val="（%1）"/>
      <w:lvlJc w:val="left"/>
      <w:rPr>
        <w:rFonts w:hint="eastAsia"/>
      </w:rPr>
    </w:lvl>
  </w:abstractNum>
  <w:abstractNum w:abstractNumId="2">
    <w:nsid w:val="2D3F20B5"/>
    <w:multiLevelType w:val="singleLevel"/>
    <w:tmpl w:val="2D3F20B5"/>
    <w:lvl w:ilvl="0" w:tentative="0">
      <w:start w:val="2"/>
      <w:numFmt w:val="decimal"/>
      <w:suff w:val="nothing"/>
      <w:lvlText w:val="%1、"/>
      <w:lvlJc w:val="left"/>
    </w:lvl>
  </w:abstractNum>
  <w:abstractNum w:abstractNumId="3">
    <w:nsid w:val="59175A79"/>
    <w:multiLevelType w:val="singleLevel"/>
    <w:tmpl w:val="59175A79"/>
    <w:lvl w:ilvl="0" w:tentative="0">
      <w:start w:val="1"/>
      <w:numFmt w:val="chineseCounting"/>
      <w:suff w:val="nothing"/>
      <w:lvlText w:val="（%1）"/>
      <w:lvlJc w:val="left"/>
      <w:rPr>
        <w:rFonts w:hint="eastAsia"/>
      </w:rPr>
    </w:lvl>
  </w:abstractNum>
  <w:abstractNum w:abstractNumId="4">
    <w:nsid w:val="653F6141"/>
    <w:multiLevelType w:val="singleLevel"/>
    <w:tmpl w:val="653F6141"/>
    <w:lvl w:ilvl="0" w:tentative="0">
      <w:start w:val="1"/>
      <w:numFmt w:val="chineseCounting"/>
      <w:suff w:val="nothing"/>
      <w:lvlText w:val="（%1）"/>
      <w:lvlJc w:val="left"/>
      <w:rPr>
        <w:rFonts w:hint="eastAsia"/>
      </w:rPr>
    </w:lvl>
  </w:abstractNum>
  <w:abstractNum w:abstractNumId="5">
    <w:nsid w:val="72F03FDA"/>
    <w:multiLevelType w:val="singleLevel"/>
    <w:tmpl w:val="72F03FDA"/>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B0A63"/>
    <w:rsid w:val="003456C8"/>
    <w:rsid w:val="003E37B4"/>
    <w:rsid w:val="00405B80"/>
    <w:rsid w:val="0042014A"/>
    <w:rsid w:val="00587065"/>
    <w:rsid w:val="0063192C"/>
    <w:rsid w:val="006E6A8E"/>
    <w:rsid w:val="006F3493"/>
    <w:rsid w:val="008D4AC8"/>
    <w:rsid w:val="009E0F42"/>
    <w:rsid w:val="00A5733B"/>
    <w:rsid w:val="00A66469"/>
    <w:rsid w:val="00AB6F10"/>
    <w:rsid w:val="00C1194B"/>
    <w:rsid w:val="00C757D7"/>
    <w:rsid w:val="00EF50D9"/>
    <w:rsid w:val="00EF571A"/>
    <w:rsid w:val="00F464BA"/>
    <w:rsid w:val="00F927D5"/>
    <w:rsid w:val="00FE12CE"/>
    <w:rsid w:val="01BF166D"/>
    <w:rsid w:val="060F775F"/>
    <w:rsid w:val="088156B6"/>
    <w:rsid w:val="107A2416"/>
    <w:rsid w:val="180B0A63"/>
    <w:rsid w:val="24156E1F"/>
    <w:rsid w:val="2485605B"/>
    <w:rsid w:val="2632153B"/>
    <w:rsid w:val="3B476DEC"/>
    <w:rsid w:val="3C9F0197"/>
    <w:rsid w:val="44FE5207"/>
    <w:rsid w:val="46C155A5"/>
    <w:rsid w:val="4A7269E1"/>
    <w:rsid w:val="4C0D6D63"/>
    <w:rsid w:val="50025F99"/>
    <w:rsid w:val="5B953BDE"/>
    <w:rsid w:val="5BA847C8"/>
    <w:rsid w:val="60E26806"/>
    <w:rsid w:val="644639A6"/>
    <w:rsid w:val="6F4151D3"/>
    <w:rsid w:val="71996166"/>
    <w:rsid w:val="73732C80"/>
    <w:rsid w:val="7506180B"/>
    <w:rsid w:val="7EC53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8"/>
      <w:szCs w:val="28"/>
      <w:lang w:eastAsia="en-US"/>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9">
    <w:name w:val="Strong"/>
    <w:basedOn w:val="8"/>
    <w:qFormat/>
    <w:uiPriority w:val="0"/>
    <w:rPr>
      <w:b/>
    </w:rPr>
  </w:style>
  <w:style w:type="paragraph" w:customStyle="1" w:styleId="10">
    <w:name w:val="标准文件_段"/>
    <w:qFormat/>
    <w:uiPriority w:val="0"/>
    <w:pPr>
      <w:autoSpaceDE w:val="0"/>
      <w:autoSpaceDN w:val="0"/>
      <w:ind w:firstLine="200" w:firstLineChars="200"/>
      <w:jc w:val="both"/>
    </w:pPr>
    <w:rPr>
      <w:rFonts w:ascii="Times New Roman" w:hAnsi="Times New Roman" w:eastAsia="宋体" w:cs="Times New Roman"/>
      <w:sz w:val="21"/>
      <w:lang w:val="en-US" w:eastAsia="zh-CN" w:bidi="ar-SA"/>
    </w:rPr>
  </w:style>
  <w:style w:type="paragraph" w:styleId="11">
    <w:name w:val="List Paragraph"/>
    <w:basedOn w:val="1"/>
    <w:unhideWhenUsed/>
    <w:qFormat/>
    <w:uiPriority w:val="99"/>
    <w:pPr>
      <w:ind w:firstLine="420" w:firstLineChars="200"/>
    </w:pPr>
  </w:style>
  <w:style w:type="character" w:customStyle="1" w:styleId="12">
    <w:name w:val="标准文件_段 Char"/>
    <w:basedOn w:val="8"/>
    <w:qFormat/>
    <w:uiPriority w:val="0"/>
    <w:rPr>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3330</Words>
  <Characters>3510</Characters>
  <Lines>26</Lines>
  <Paragraphs>7</Paragraphs>
  <TotalTime>0</TotalTime>
  <ScaleCrop>false</ScaleCrop>
  <LinksUpToDate>false</LinksUpToDate>
  <CharactersWithSpaces>3564</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2025-08-12T01:18:00Z</dcterms:created>
  <dc:creator>乔南一</dc:creator>
  <cp:lastModifiedBy>WPS_1742196473</cp:lastModifiedBy>
  <dcterms:modified xsi:type="dcterms:W3CDTF">2025-09-02T08:00:26Z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10D70D8490C24420BBC238059921AAA2_13</vt:lpwstr>
  </property>
  <property fmtid="{D5CDD505-2E9C-101B-9397-08002B2CF9AE}" pid="4" name="KSOTemplateDocerSaveRecord">
    <vt:lpwstr>eyJoZGlkIjoiZmQ3Njg4NzQwNzMyMWFiZmQ0MTY0MGI5YzI0NTg2NjgiLCJ1c2VySWQiOiI0MjQzNzI5MzAifQ==</vt:lpwstr>
  </property>
</Properties>
</file>