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14:paraId="7D825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5DD2D8FC">
            <w:pPr>
              <w:pStyle w:val="18"/>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7CDB20B2">
            <w:pPr>
              <w:pStyle w:val="18"/>
              <w:framePr w:wrap="notBeside" w:vAnchor="page" w:hAnchor="page" w:x="1372" w:y="568"/>
              <w:tabs>
                <w:tab w:val="clear" w:pos="4153"/>
                <w:tab w:val="clear" w:pos="8306"/>
              </w:tabs>
              <w:spacing w:line="240" w:lineRule="auto"/>
              <w:jc w:val="both"/>
              <w:rPr>
                <w:rFonts w:hint="eastAsia" w:ascii="黑体" w:hAnsi="黑体" w:eastAsia="黑体"/>
                <w:sz w:val="21"/>
                <w:szCs w:val="21"/>
              </w:rPr>
            </w:pPr>
            <w:bookmarkStart w:id="299" w:name="_GoBack"/>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35.240.01</w:t>
            </w:r>
            <w:r>
              <w:rPr>
                <w:rFonts w:ascii="黑体" w:hAnsi="黑体" w:eastAsia="黑体"/>
                <w:sz w:val="21"/>
                <w:szCs w:val="21"/>
              </w:rPr>
              <w:fldChar w:fldCharType="end"/>
            </w:r>
            <w:bookmarkEnd w:id="299"/>
            <w:bookmarkEnd w:id="0"/>
          </w:p>
        </w:tc>
      </w:tr>
      <w:tr w14:paraId="02320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C07E42C">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8"/>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14:paraId="31D3EC0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14:paraId="25C92D19">
                  <w:pPr>
                    <w:pStyle w:val="50"/>
                    <w:framePr w:wrap="notBeside" w:vAnchor="page" w:hAnchor="page" w:x="1372" w:y="568"/>
                    <w:ind w:left="420" w:right="624"/>
                    <w:rPr>
                      <w:rFonts w:hint="eastAsia" w:ascii="宋体" w:hAnsi="宋体"/>
                      <w:sz w:val="28"/>
                      <w:szCs w:val="28"/>
                    </w:rPr>
                  </w:pPr>
                  <w: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14:paraId="2A11A6A0">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2"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L70</w:t>
            </w:r>
            <w:r>
              <w:rPr>
                <w:rFonts w:ascii="黑体" w:hAnsi="黑体" w:eastAsia="黑体"/>
                <w:sz w:val="21"/>
                <w:szCs w:val="21"/>
              </w:rPr>
              <w:fldChar w:fldCharType="end"/>
            </w:r>
            <w:bookmarkEnd w:id="2"/>
          </w:p>
        </w:tc>
      </w:tr>
    </w:tbl>
    <w:p w14:paraId="55489531">
      <w:pPr>
        <w:pStyle w:val="51"/>
        <w:framePr w:w="9639" w:h="624" w:hRule="exact" w:hSpace="181" w:vSpace="181" w:wrap="around" w:hAnchor="page" w:x="1305" w:y="2269"/>
        <w:rPr>
          <w:rFonts w:hint="eastAsia" w:ascii="黑体" w:hAnsi="黑体" w:eastAsia="黑体"/>
          <w:b w:val="0"/>
          <w:bCs w:val="0"/>
          <w:w w:val="100"/>
          <w:sz w:val="48"/>
          <w:szCs w:val="48"/>
        </w:rPr>
      </w:pPr>
      <w:bookmarkStart w:id="3" w:name="_Hlk26473981"/>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hint="eastAsia" w:ascii="黑体" w:eastAsia="黑体"/>
          <w:b w:val="0"/>
          <w:w w:val="100"/>
          <w:sz w:val="48"/>
        </w:rPr>
        <w:t>团体</w:t>
      </w:r>
      <w:r>
        <w:rPr>
          <w:rFonts w:hint="eastAsia" w:ascii="黑体" w:hAnsi="黑体" w:eastAsia="黑体"/>
          <w:b w:val="0"/>
          <w:bCs w:val="0"/>
          <w:w w:val="100"/>
          <w:sz w:val="48"/>
          <w:szCs w:val="48"/>
        </w:rPr>
        <w:t>标准</w:t>
      </w:r>
    </w:p>
    <w:bookmarkEnd w:id="3"/>
    <w:p w14:paraId="5C904E38">
      <w:pPr>
        <w:pStyle w:val="196"/>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rPr>
          <w:rFonts w:hint="eastAsia"/>
        </w:rPr>
        <w:t>CIQA</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rPr>
          <w:rFonts w:hint="eastAsia"/>
        </w:rPr>
        <w:t>249</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rPr>
          <w:rFonts w:hint="eastAsia"/>
        </w:rPr>
        <w:t>2025</w:t>
      </w:r>
      <w:r>
        <w:fldChar w:fldCharType="end"/>
      </w:r>
      <w:bookmarkEnd w:id="7"/>
    </w:p>
    <w:p w14:paraId="2715ADE3">
      <w:pPr>
        <w:pStyle w:val="197"/>
        <w:rPr>
          <w:rFonts w:hint="eastAsia"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05BC9464">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2E957946">
      <w:pPr>
        <w:pStyle w:val="51"/>
        <w:framePr w:w="9639" w:h="6976" w:hRule="exact" w:hSpace="0" w:vSpace="0" w:wrap="around" w:hAnchor="page" w:y="6408"/>
        <w:jc w:val="center"/>
        <w:rPr>
          <w:rFonts w:hint="eastAsia" w:ascii="黑体" w:hAnsi="黑体" w:eastAsia="黑体"/>
          <w:b w:val="0"/>
          <w:bCs w:val="0"/>
          <w:w w:val="100"/>
        </w:rPr>
      </w:pPr>
    </w:p>
    <w:p w14:paraId="375A4E11">
      <w:pPr>
        <w:pStyle w:val="198"/>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面向人工智能的数据集通用检验检测要求</w:t>
      </w:r>
      <w:r>
        <w:fldChar w:fldCharType="end"/>
      </w:r>
      <w:bookmarkEnd w:id="9"/>
    </w:p>
    <w:p w14:paraId="1E71C1A3">
      <w:pPr>
        <w:framePr w:w="9639" w:h="6974" w:hRule="exact" w:wrap="around" w:vAnchor="page" w:hAnchor="page" w:x="1419" w:y="6408" w:anchorLock="1"/>
        <w:ind w:left="-1418"/>
      </w:pPr>
    </w:p>
    <w:p w14:paraId="0D1E4D6E">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General testing requirements for data sets for artificial intelligence</w:t>
      </w:r>
      <w:r>
        <w:rPr>
          <w:rFonts w:eastAsia="黑体"/>
          <w:szCs w:val="28"/>
        </w:rPr>
        <w:fldChar w:fldCharType="end"/>
      </w:r>
      <w:bookmarkEnd w:id="10"/>
    </w:p>
    <w:p w14:paraId="5E8D25D0">
      <w:pPr>
        <w:framePr w:w="9639" w:h="6974" w:hRule="exact" w:wrap="around" w:vAnchor="page" w:hAnchor="page" w:x="1419" w:y="6408" w:anchorLock="1"/>
        <w:spacing w:line="760" w:lineRule="exact"/>
        <w:ind w:left="-1418"/>
      </w:pPr>
    </w:p>
    <w:p w14:paraId="67F086E2">
      <w:pPr>
        <w:pStyle w:val="126"/>
        <w:framePr w:w="9639" w:h="6974" w:hRule="exact" w:wrap="around" w:vAnchor="page" w:hAnchor="page" w:x="1419" w:y="6408" w:anchorLock="1"/>
        <w:textAlignment w:val="bottom"/>
        <w:rPr>
          <w:rFonts w:eastAsia="黑体"/>
          <w:szCs w:val="28"/>
        </w:rPr>
      </w:pPr>
    </w:p>
    <w:p w14:paraId="117382A4">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17678EB2">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w:t>
      </w:r>
      <w:r>
        <w:rPr>
          <w:rFonts w:hint="eastAsia"/>
          <w:sz w:val="21"/>
          <w:szCs w:val="28"/>
        </w:rPr>
        <w:t>2025.08.26）</w:t>
      </w:r>
      <w:r>
        <w:rPr>
          <w:sz w:val="21"/>
          <w:szCs w:val="28"/>
        </w:rPr>
        <w:fldChar w:fldCharType="end"/>
      </w:r>
      <w:bookmarkEnd w:id="12"/>
    </w:p>
    <w:p w14:paraId="7AD9F038">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15E17EF8">
      <w:pPr>
        <w:pStyle w:val="194"/>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hint="eastAsia" w:ascii="黑体"/>
        </w:rPr>
        <w:t>2025</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hint="eastAsia" w:ascii="黑体"/>
        </w:rPr>
        <w:t>10</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hint="eastAsia" w:ascii="黑体"/>
        </w:rPr>
        <w:t>31</w:t>
      </w:r>
      <w:r>
        <w:rPr>
          <w:rFonts w:ascii="黑体"/>
        </w:rPr>
        <w:fldChar w:fldCharType="end"/>
      </w:r>
      <w:bookmarkEnd w:id="16"/>
      <w:r>
        <w:rPr>
          <w:rFonts w:hint="eastAsia"/>
        </w:rPr>
        <w:t>发布</w:t>
      </w:r>
    </w:p>
    <w:p w14:paraId="06D0B5DB">
      <w:pPr>
        <w:pStyle w:val="195"/>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hint="eastAsia" w:ascii="黑体"/>
        </w:rPr>
        <w:t>2025</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hint="eastAsia" w:ascii="黑体"/>
        </w:rPr>
        <w:t>10</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hint="eastAsia" w:ascii="黑体"/>
        </w:rPr>
        <w:t>31</w:t>
      </w:r>
      <w:r>
        <w:rPr>
          <w:rFonts w:ascii="黑体"/>
        </w:rPr>
        <w:fldChar w:fldCharType="end"/>
      </w:r>
      <w:bookmarkEnd w:id="19"/>
      <w:r>
        <w:rPr>
          <w:rFonts w:hint="eastAsia"/>
        </w:rPr>
        <w:t>实施</w:t>
      </w:r>
    </w:p>
    <w:p w14:paraId="0FDD4A29">
      <w:pPr>
        <w:pStyle w:val="152"/>
        <w:framePr w:h="584" w:hRule="exact" w:hSpace="181" w:vSpace="181" w:wrap="around" w:y="14800"/>
        <w:rPr>
          <w:rFonts w:hint="eastAsia"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中国出入境检验检疫协会</w:t>
      </w:r>
      <w:r>
        <w:rPr>
          <w:rFonts w:hAnsi="黑体"/>
          <w:w w:val="100"/>
          <w:sz w:val="28"/>
        </w:rPr>
        <w:fldChar w:fldCharType="end"/>
      </w:r>
      <w:bookmarkEnd w:id="2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14:paraId="3772B1D4">
      <w:pPr>
        <w:rPr>
          <w:rFonts w:hint="eastAsia" w:ascii="宋体" w:hAnsi="宋体"/>
          <w:sz w:val="28"/>
          <w:szCs w:val="28"/>
        </w:rPr>
        <w:sectPr>
          <w:headerReference r:id="rId6" w:type="first"/>
          <w:footerReference r:id="rId8" w:type="first"/>
          <w:headerReference r:id="rId5" w:type="default"/>
          <w:footerReference r:id="rId7"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461CEEED">
      <w:pPr>
        <w:pStyle w:val="92"/>
        <w:spacing w:after="360"/>
      </w:pPr>
      <w:bookmarkStart w:id="21" w:name="BookMark1"/>
      <w:bookmarkStart w:id="22" w:name="_Toc13851"/>
      <w:bookmarkStart w:id="23" w:name="_Toc26501"/>
      <w:bookmarkStart w:id="24" w:name="_Toc11659"/>
      <w:bookmarkStart w:id="25" w:name="_Toc27619"/>
      <w:bookmarkStart w:id="26" w:name="_Toc3846"/>
      <w:bookmarkStart w:id="27" w:name="_Toc12861"/>
      <w:bookmarkStart w:id="28" w:name="_Toc8621"/>
      <w:bookmarkStart w:id="29" w:name="_Toc9871"/>
      <w:r>
        <w:rPr>
          <w:rFonts w:hint="eastAsia"/>
          <w:spacing w:val="320"/>
        </w:rPr>
        <w:t>目</w:t>
      </w:r>
      <w:r>
        <w:rPr>
          <w:rFonts w:hint="eastAsia"/>
        </w:rPr>
        <w:t>次</w:t>
      </w:r>
    </w:p>
    <w:p w14:paraId="7A3A5F31">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TOC \o "1-1" \t "标准文件_一级条标题,2,标准文件_附录一级条标题,2," \h</w:instrText>
      </w:r>
      <w:r>
        <w:rPr>
          <w:rFonts w:hint="eastAsia" w:ascii="宋体" w:hAnsi="宋体" w:eastAsia="宋体" w:cs="宋体"/>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_Toc30122 </w:instrText>
      </w:r>
      <w:r>
        <w:rPr>
          <w:rFonts w:hint="eastAsia" w:ascii="宋体" w:hAnsi="宋体" w:eastAsia="宋体" w:cs="宋体"/>
        </w:rPr>
        <w:fldChar w:fldCharType="separate"/>
      </w:r>
      <w:r>
        <w:rPr>
          <w:rFonts w:hint="eastAsia" w:ascii="宋体" w:hAnsi="宋体" w:eastAsia="宋体" w:cs="宋体"/>
          <w:spacing w:val="320"/>
        </w:rPr>
        <w:t>前</w:t>
      </w:r>
      <w:r>
        <w:rPr>
          <w:rFonts w:hint="eastAsia" w:ascii="宋体" w:hAnsi="宋体" w:eastAsia="宋体" w:cs="宋体"/>
        </w:rPr>
        <w:t>言</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_Toc30122 \h </w:instrText>
      </w:r>
      <w:r>
        <w:rPr>
          <w:rFonts w:hint="eastAsia" w:ascii="宋体" w:hAnsi="宋体" w:eastAsia="宋体" w:cs="宋体"/>
        </w:rPr>
        <w:fldChar w:fldCharType="separate"/>
      </w:r>
      <w:r>
        <w:rPr>
          <w:rFonts w:hint="eastAsia" w:ascii="宋体" w:hAnsi="宋体" w:eastAsia="宋体" w:cs="宋体"/>
        </w:rPr>
        <w:t>II</w:t>
      </w:r>
      <w:r>
        <w:rPr>
          <w:rFonts w:hint="eastAsia" w:ascii="宋体" w:hAnsi="宋体" w:eastAsia="宋体" w:cs="宋体"/>
        </w:rPr>
        <w:fldChar w:fldCharType="end"/>
      </w:r>
      <w:r>
        <w:rPr>
          <w:rFonts w:hint="eastAsia" w:ascii="宋体" w:hAnsi="宋体" w:eastAsia="宋体" w:cs="宋体"/>
        </w:rPr>
        <w:fldChar w:fldCharType="end"/>
      </w:r>
    </w:p>
    <w:p w14:paraId="657D69FE">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_Toc17357 </w:instrText>
      </w:r>
      <w:r>
        <w:rPr>
          <w:rFonts w:hint="eastAsia" w:ascii="宋体" w:hAnsi="宋体" w:eastAsia="宋体" w:cs="宋体"/>
        </w:rPr>
        <w:fldChar w:fldCharType="separate"/>
      </w:r>
      <w:r>
        <w:rPr>
          <w:rFonts w:hint="eastAsia" w:ascii="宋体" w:hAnsi="宋体" w:eastAsia="宋体" w:cs="宋体"/>
          <w:i w:val="0"/>
        </w:rPr>
        <w:t xml:space="preserve">1 </w:t>
      </w:r>
      <w:r>
        <w:rPr>
          <w:rFonts w:hint="eastAsia" w:ascii="宋体" w:hAnsi="宋体" w:eastAsia="宋体" w:cs="宋体"/>
        </w:rPr>
        <w:t>范围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_Toc17357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14:paraId="7928FBB1">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_Toc20032 </w:instrText>
      </w:r>
      <w:r>
        <w:rPr>
          <w:rFonts w:hint="eastAsia" w:ascii="宋体" w:hAnsi="宋体" w:eastAsia="宋体" w:cs="宋体"/>
        </w:rPr>
        <w:fldChar w:fldCharType="separate"/>
      </w:r>
      <w:r>
        <w:rPr>
          <w:rFonts w:hint="eastAsia" w:ascii="宋体" w:hAnsi="宋体" w:eastAsia="宋体" w:cs="宋体"/>
          <w:i w:val="0"/>
        </w:rPr>
        <w:t xml:space="preserve">2 </w:t>
      </w:r>
      <w:r>
        <w:rPr>
          <w:rFonts w:hint="eastAsia" w:ascii="宋体" w:hAnsi="宋体" w:eastAsia="宋体" w:cs="宋体"/>
        </w:rPr>
        <w:t>规范性引用文件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_Toc20032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14:paraId="4F01D33D">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_Toc5764 </w:instrText>
      </w:r>
      <w:r>
        <w:rPr>
          <w:rFonts w:hint="eastAsia" w:ascii="宋体" w:hAnsi="宋体" w:eastAsia="宋体" w:cs="宋体"/>
        </w:rPr>
        <w:fldChar w:fldCharType="separate"/>
      </w:r>
      <w:r>
        <w:rPr>
          <w:rFonts w:hint="eastAsia" w:ascii="宋体" w:hAnsi="宋体" w:eastAsia="宋体" w:cs="宋体"/>
          <w:i w:val="0"/>
        </w:rPr>
        <w:t xml:space="preserve">3 </w:t>
      </w:r>
      <w:r>
        <w:rPr>
          <w:rFonts w:hint="eastAsia" w:ascii="宋体" w:hAnsi="宋体" w:eastAsia="宋体" w:cs="宋体"/>
          <w:szCs w:val="21"/>
        </w:rPr>
        <w:t>术语和定义</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_Toc5764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14:paraId="32A48D00">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_Toc29777 </w:instrText>
      </w:r>
      <w:r>
        <w:rPr>
          <w:rFonts w:hint="eastAsia" w:ascii="宋体" w:hAnsi="宋体" w:eastAsia="宋体" w:cs="宋体"/>
        </w:rPr>
        <w:fldChar w:fldCharType="separate"/>
      </w:r>
      <w:r>
        <w:rPr>
          <w:rFonts w:hint="eastAsia" w:ascii="宋体" w:hAnsi="宋体" w:eastAsia="宋体" w:cs="宋体"/>
          <w:i w:val="0"/>
        </w:rPr>
        <w:t xml:space="preserve">4 </w:t>
      </w:r>
      <w:r>
        <w:rPr>
          <w:rFonts w:hint="eastAsia" w:ascii="宋体" w:hAnsi="宋体" w:eastAsia="宋体" w:cs="宋体"/>
        </w:rPr>
        <w:t>检验检测机构要求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_Toc29777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14:paraId="149B8A71">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_Toc11981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4.1 </w:t>
      </w:r>
      <w:r>
        <w:rPr>
          <w:rFonts w:hint="eastAsia" w:ascii="宋体" w:hAnsi="宋体" w:eastAsia="宋体" w:cs="宋体"/>
        </w:rPr>
        <w:t>资质要求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_Toc11981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14:paraId="25FCDE78">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_Toc23714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4.2 </w:t>
      </w:r>
      <w:r>
        <w:rPr>
          <w:rFonts w:hint="eastAsia" w:ascii="宋体" w:hAnsi="宋体" w:eastAsia="宋体" w:cs="宋体"/>
        </w:rPr>
        <w:t>制度要求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_Toc23714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0CC8F415">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_Toc28785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4.3 </w:t>
      </w:r>
      <w:r>
        <w:rPr>
          <w:rFonts w:hint="eastAsia" w:ascii="宋体" w:hAnsi="宋体" w:eastAsia="宋体" w:cs="宋体"/>
        </w:rPr>
        <w:t>场地要求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_Toc28785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409E7BB6">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_Toc32141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4.4 </w:t>
      </w:r>
      <w:r>
        <w:rPr>
          <w:rFonts w:hint="eastAsia" w:ascii="宋体" w:hAnsi="宋体" w:eastAsia="宋体" w:cs="宋体"/>
        </w:rPr>
        <w:t>规范要求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_Toc32141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6FCB32B4">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_Toc23378 </w:instrText>
      </w:r>
      <w:r>
        <w:rPr>
          <w:rFonts w:hint="eastAsia" w:ascii="宋体" w:hAnsi="宋体" w:eastAsia="宋体" w:cs="宋体"/>
        </w:rPr>
        <w:fldChar w:fldCharType="separate"/>
      </w:r>
      <w:r>
        <w:rPr>
          <w:rFonts w:hint="eastAsia" w:ascii="宋体" w:hAnsi="宋体" w:eastAsia="宋体" w:cs="宋体"/>
          <w:i w:val="0"/>
        </w:rPr>
        <w:t xml:space="preserve">5 </w:t>
      </w:r>
      <w:r>
        <w:rPr>
          <w:rFonts w:hint="eastAsia" w:ascii="宋体" w:hAnsi="宋体" w:eastAsia="宋体" w:cs="宋体"/>
        </w:rPr>
        <w:t>人员要求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_Toc23378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7D8C3502">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_Toc22185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5.1 </w:t>
      </w:r>
      <w:r>
        <w:rPr>
          <w:rFonts w:hint="eastAsia" w:ascii="宋体" w:hAnsi="宋体" w:eastAsia="宋体" w:cs="宋体"/>
        </w:rPr>
        <w:t>检测人员要求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_Toc22185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655BED6C">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_Toc31455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5.2 </w:t>
      </w:r>
      <w:r>
        <w:rPr>
          <w:rFonts w:hint="eastAsia" w:ascii="宋体" w:hAnsi="宋体" w:eastAsia="宋体" w:cs="宋体"/>
        </w:rPr>
        <w:t>外部专家要求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_Toc31455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7AD167F4">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_Toc3838 </w:instrText>
      </w:r>
      <w:r>
        <w:rPr>
          <w:rFonts w:hint="eastAsia" w:ascii="宋体" w:hAnsi="宋体" w:eastAsia="宋体" w:cs="宋体"/>
        </w:rPr>
        <w:fldChar w:fldCharType="separate"/>
      </w:r>
      <w:r>
        <w:rPr>
          <w:rFonts w:hint="eastAsia" w:ascii="宋体" w:hAnsi="宋体" w:eastAsia="宋体" w:cs="宋体"/>
          <w:i w:val="0"/>
        </w:rPr>
        <w:t xml:space="preserve">6 </w:t>
      </w:r>
      <w:r>
        <w:rPr>
          <w:rFonts w:hint="eastAsia" w:ascii="宋体" w:hAnsi="宋体" w:eastAsia="宋体" w:cs="宋体"/>
        </w:rPr>
        <w:t>检验检测能力要求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_Toc3838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208BC82C">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_Toc17931 </w:instrText>
      </w:r>
      <w:r>
        <w:rPr>
          <w:rFonts w:hint="eastAsia" w:ascii="宋体" w:hAnsi="宋体" w:eastAsia="宋体" w:cs="宋体"/>
        </w:rPr>
        <w:fldChar w:fldCharType="separate"/>
      </w:r>
      <w:r>
        <w:rPr>
          <w:rFonts w:hint="eastAsia" w:ascii="宋体" w:hAnsi="宋体" w:eastAsia="宋体" w:cs="宋体"/>
          <w:i w:val="0"/>
        </w:rPr>
        <w:t xml:space="preserve">7 </w:t>
      </w:r>
      <w:r>
        <w:rPr>
          <w:rFonts w:hint="eastAsia" w:ascii="宋体" w:hAnsi="宋体" w:eastAsia="宋体" w:cs="宋体"/>
        </w:rPr>
        <w:t>操作规范要求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_Toc17931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29D466C1">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_Toc9621 </w:instrText>
      </w:r>
      <w:r>
        <w:rPr>
          <w:rFonts w:hint="eastAsia" w:ascii="宋体" w:hAnsi="宋体" w:eastAsia="宋体" w:cs="宋体"/>
        </w:rPr>
        <w:fldChar w:fldCharType="separate"/>
      </w:r>
      <w:r>
        <w:rPr>
          <w:rFonts w:hint="eastAsia" w:ascii="宋体" w:hAnsi="宋体" w:eastAsia="宋体" w:cs="宋体"/>
          <w:i w:val="0"/>
          <w:szCs w:val="21"/>
        </w:rPr>
        <w:t xml:space="preserve">8 </w:t>
      </w:r>
      <w:r>
        <w:rPr>
          <w:rFonts w:hint="eastAsia" w:ascii="宋体" w:hAnsi="宋体" w:eastAsia="宋体" w:cs="宋体"/>
          <w:szCs w:val="21"/>
        </w:rPr>
        <w:t>检验检测指标</w:t>
      </w:r>
      <w:r>
        <w:rPr>
          <w:rFonts w:hint="eastAsia" w:ascii="宋体" w:hAnsi="宋体" w:eastAsia="宋体" w:cs="宋体"/>
          <w:szCs w:val="21"/>
          <w:lang w:val="en-US" w:eastAsia="zh-CN"/>
        </w:rPr>
        <w:t>体系构建</w:t>
      </w:r>
      <w:r>
        <w:rPr>
          <w:rFonts w:hint="eastAsia" w:ascii="宋体" w:hAnsi="宋体" w:eastAsia="宋体" w:cs="宋体"/>
          <w:szCs w:val="21"/>
        </w:rPr>
        <w:t>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_Toc9621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51D14E6F">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_Toc7194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8.1 </w:t>
      </w:r>
      <w:r>
        <w:rPr>
          <w:rFonts w:hint="eastAsia" w:ascii="宋体" w:hAnsi="宋体" w:eastAsia="宋体" w:cs="宋体"/>
        </w:rPr>
        <w:t>检验检测指标框架</w:t>
      </w:r>
      <w:r>
        <w:rPr>
          <w:rFonts w:hint="eastAsia" w:ascii="宋体" w:hAnsi="宋体" w:eastAsia="宋体" w:cs="宋体"/>
          <w:lang w:val="en-US" w:eastAsia="zh-CN"/>
        </w:rPr>
        <w:t>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_Toc7194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336FB82A">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_Toc20369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8.2 </w:t>
      </w:r>
      <w:r>
        <w:rPr>
          <w:rFonts w:hint="eastAsia" w:ascii="宋体" w:hAnsi="宋体" w:eastAsia="宋体" w:cs="宋体"/>
        </w:rPr>
        <w:t>检验检测指标选取</w:t>
      </w:r>
      <w:r>
        <w:rPr>
          <w:rFonts w:hint="eastAsia" w:ascii="宋体" w:hAnsi="宋体" w:eastAsia="宋体" w:cs="宋体"/>
          <w:lang w:val="en-US" w:eastAsia="zh-CN"/>
        </w:rPr>
        <w:t>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_Toc20369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0D08D7EB">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_Toc11461 </w:instrText>
      </w:r>
      <w:r>
        <w:rPr>
          <w:rFonts w:hint="eastAsia" w:ascii="宋体" w:hAnsi="宋体" w:eastAsia="宋体" w:cs="宋体"/>
        </w:rPr>
        <w:fldChar w:fldCharType="separate"/>
      </w:r>
      <w:r>
        <w:rPr>
          <w:rFonts w:hint="eastAsia" w:ascii="宋体" w:hAnsi="宋体" w:eastAsia="宋体" w:cs="宋体"/>
          <w:i w:val="0"/>
        </w:rPr>
        <w:t xml:space="preserve">9 </w:t>
      </w:r>
      <w:r>
        <w:rPr>
          <w:rFonts w:hint="eastAsia" w:ascii="宋体" w:hAnsi="宋体" w:eastAsia="宋体" w:cs="宋体"/>
        </w:rPr>
        <w:t>检验检测方法要求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_Toc11461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41EA782C">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_Toc14412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9.1 </w:t>
      </w:r>
      <w:r>
        <w:rPr>
          <w:rFonts w:hint="eastAsia" w:ascii="宋体" w:hAnsi="宋体" w:eastAsia="宋体" w:cs="宋体"/>
        </w:rPr>
        <w:t>定量方法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_Toc14412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51A402B1">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_Toc20095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9.2 </w:t>
      </w:r>
      <w:r>
        <w:rPr>
          <w:rFonts w:hint="eastAsia" w:ascii="宋体" w:hAnsi="宋体" w:eastAsia="宋体" w:cs="宋体"/>
        </w:rPr>
        <w:t>定性方法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_Toc20095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39C9D80E">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_Toc15104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9.3 </w:t>
      </w:r>
      <w:r>
        <w:rPr>
          <w:rFonts w:hint="eastAsia" w:ascii="宋体" w:hAnsi="宋体" w:eastAsia="宋体" w:cs="宋体"/>
        </w:rPr>
        <w:t>综合方法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_Toc15104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2EB916E2">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_Toc7137 </w:instrText>
      </w:r>
      <w:r>
        <w:rPr>
          <w:rFonts w:hint="eastAsia" w:ascii="宋体" w:hAnsi="宋体" w:eastAsia="宋体" w:cs="宋体"/>
        </w:rPr>
        <w:fldChar w:fldCharType="separate"/>
      </w:r>
      <w:r>
        <w:rPr>
          <w:rFonts w:hint="eastAsia" w:ascii="宋体" w:hAnsi="宋体" w:eastAsia="宋体" w:cs="宋体"/>
          <w:i w:val="0"/>
          <w:kern w:val="2"/>
          <w:szCs w:val="21"/>
        </w:rPr>
        <w:t xml:space="preserve">10 </w:t>
      </w:r>
      <w:r>
        <w:rPr>
          <w:rFonts w:hint="eastAsia" w:ascii="宋体" w:hAnsi="宋体" w:eastAsia="宋体" w:cs="宋体"/>
          <w:kern w:val="2"/>
          <w:szCs w:val="21"/>
        </w:rPr>
        <w:t>检验检测流程要求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_Toc7137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26C7BE4D">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_Toc11007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10.1 </w:t>
      </w:r>
      <w:r>
        <w:rPr>
          <w:rFonts w:hint="eastAsia" w:ascii="宋体" w:hAnsi="宋体" w:eastAsia="宋体" w:cs="宋体"/>
        </w:rPr>
        <w:t>检验检测流程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_Toc11007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49E74FCF">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_Toc14734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10.2 </w:t>
      </w:r>
      <w:r>
        <w:rPr>
          <w:rFonts w:hint="eastAsia" w:ascii="宋体" w:hAnsi="宋体" w:eastAsia="宋体" w:cs="宋体"/>
        </w:rPr>
        <w:t>定义数据集质量需求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_Toc14734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14:paraId="397C464E">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_Toc9880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10.3 </w:t>
      </w:r>
      <w:r>
        <w:rPr>
          <w:rFonts w:hint="eastAsia" w:ascii="宋体" w:hAnsi="宋体" w:eastAsia="宋体" w:cs="宋体"/>
        </w:rPr>
        <w:t>建立数据集质量检验检测框架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_Toc9880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14:paraId="5CEE345E">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_Toc28678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10.4 </w:t>
      </w:r>
      <w:r>
        <w:rPr>
          <w:rFonts w:hint="eastAsia" w:ascii="宋体" w:hAnsi="宋体" w:eastAsia="宋体" w:cs="宋体"/>
          <w:szCs w:val="21"/>
        </w:rPr>
        <w:t>检验检测任务配置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_Toc28678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14:paraId="6A4D7140">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_Toc4619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10.5 </w:t>
      </w:r>
      <w:r>
        <w:rPr>
          <w:rFonts w:hint="eastAsia" w:ascii="宋体" w:hAnsi="宋体" w:eastAsia="宋体" w:cs="宋体"/>
          <w:szCs w:val="21"/>
        </w:rPr>
        <w:t>执行检验检测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_Toc4619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14:paraId="5D113D3E">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_Toc24897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10.6 </w:t>
      </w:r>
      <w:r>
        <w:rPr>
          <w:rFonts w:hint="eastAsia" w:ascii="宋体" w:hAnsi="宋体" w:eastAsia="宋体" w:cs="宋体"/>
        </w:rPr>
        <w:t>数据处理/数据修复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_Toc24897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14:paraId="53EA0FF4">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_Toc831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10.7 </w:t>
      </w:r>
      <w:r>
        <w:rPr>
          <w:rFonts w:hint="eastAsia" w:ascii="宋体" w:hAnsi="宋体" w:eastAsia="宋体" w:cs="宋体"/>
        </w:rPr>
        <w:t>数据质量监控</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_Toc831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14:paraId="7F278197">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_Toc8211 </w:instrText>
      </w:r>
      <w:r>
        <w:rPr>
          <w:rFonts w:hint="eastAsia" w:ascii="宋体" w:hAnsi="宋体" w:eastAsia="宋体" w:cs="宋体"/>
        </w:rPr>
        <w:fldChar w:fldCharType="separate"/>
      </w:r>
      <w:r>
        <w:rPr>
          <w:rFonts w:hint="eastAsia" w:ascii="宋体" w:hAnsi="宋体" w:eastAsia="宋体" w:cs="宋体"/>
          <w:i w:val="0"/>
        </w:rPr>
        <w:t xml:space="preserve">11 </w:t>
      </w:r>
      <w:r>
        <w:rPr>
          <w:rFonts w:hint="eastAsia" w:ascii="宋体" w:hAnsi="宋体" w:eastAsia="宋体" w:cs="宋体"/>
        </w:rPr>
        <w:t>检验检测报告要求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_Toc8211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14:paraId="13581785">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_Toc27677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11.1 </w:t>
      </w:r>
      <w:r>
        <w:rPr>
          <w:rFonts w:hint="eastAsia" w:ascii="宋体" w:hAnsi="宋体" w:eastAsia="宋体" w:cs="宋体"/>
        </w:rPr>
        <w:t>报告内容</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_Toc27677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14:paraId="5B3396BC">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_Toc181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11.2 </w:t>
      </w:r>
      <w:r>
        <w:rPr>
          <w:rFonts w:hint="eastAsia" w:ascii="宋体" w:hAnsi="宋体" w:eastAsia="宋体" w:cs="宋体"/>
          <w:szCs w:val="21"/>
        </w:rPr>
        <w:t>报告格式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_Toc181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14:paraId="6C938DE8">
      <w:pPr>
        <w:pStyle w:val="19"/>
        <w:tabs>
          <w:tab w:val="right" w:leader="dot" w:pos="935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_Toc25432 </w:instrText>
      </w:r>
      <w:r>
        <w:rPr>
          <w:rFonts w:hint="eastAsia" w:ascii="宋体" w:hAnsi="宋体" w:eastAsia="宋体" w:cs="宋体"/>
        </w:rPr>
        <w:fldChar w:fldCharType="separate"/>
      </w:r>
      <w:r>
        <w:rPr>
          <w:rFonts w:hint="eastAsia" w:ascii="宋体" w:hAnsi="宋体" w:eastAsia="宋体" w:cs="宋体"/>
          <w:i w:val="0"/>
        </w:rPr>
        <w:t xml:space="preserve">12 </w:t>
      </w:r>
      <w:r>
        <w:rPr>
          <w:rFonts w:hint="eastAsia" w:ascii="宋体" w:hAnsi="宋体" w:eastAsia="宋体" w:cs="宋体"/>
        </w:rPr>
        <w:t>检验检测频率与监督要求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_Toc25432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14:paraId="68B15DF0">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_Toc32666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12.1 </w:t>
      </w:r>
      <w:r>
        <w:rPr>
          <w:rFonts w:hint="eastAsia" w:ascii="宋体" w:hAnsi="宋体" w:eastAsia="宋体" w:cs="宋体"/>
        </w:rPr>
        <w:t>检验频率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_Toc32666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14:paraId="652782B9">
      <w:pPr>
        <w:pStyle w:val="24"/>
        <w:tabs>
          <w:tab w:val="right" w:leader="dot" w:pos="9354"/>
          <w:tab w:val="clear" w:pos="934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_Toc23686 </w:instrText>
      </w:r>
      <w:r>
        <w:rPr>
          <w:rFonts w:hint="eastAsia" w:ascii="宋体" w:hAnsi="宋体" w:eastAsia="宋体" w:cs="宋体"/>
        </w:rPr>
        <w:fldChar w:fldCharType="separate"/>
      </w:r>
      <w:r>
        <w:rPr>
          <w:rFonts w:hint="eastAsia" w:ascii="宋体" w:hAnsi="宋体" w:eastAsia="宋体" w:cs="宋体"/>
          <w:bCs w:val="0"/>
          <w:i w:val="0"/>
          <w:iCs w:val="0"/>
          <w:caps w:val="0"/>
          <w:smallCaps w:val="0"/>
          <w:strike w:val="0"/>
          <w:dstrike w:val="0"/>
          <w:vanish w:val="0"/>
          <w:spacing w:val="0"/>
          <w:kern w:val="0"/>
          <w:position w:val="0"/>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12.2 </w:t>
      </w:r>
      <w:r>
        <w:rPr>
          <w:rFonts w:hint="eastAsia" w:ascii="宋体" w:hAnsi="宋体" w:eastAsia="宋体" w:cs="宋体"/>
        </w:rPr>
        <w:t>监督要求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_Toc23686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14:paraId="7956E322">
      <w:pPr>
        <w:pStyle w:val="92"/>
        <w:spacing w:after="360"/>
        <w:sectPr>
          <w:headerReference r:id="rId9" w:type="default"/>
          <w:footerReference r:id="rId10" w:type="default"/>
          <w:pgSz w:w="11906" w:h="16838"/>
          <w:pgMar w:top="1928" w:right="1134" w:bottom="1134" w:left="1134" w:header="1418" w:footer="1134" w:gutter="284"/>
          <w:pgNumType w:fmt="upperRoman" w:start="1"/>
          <w:cols w:space="425" w:num="1"/>
          <w:formProt w:val="0"/>
          <w:docGrid w:linePitch="312" w:charSpace="0"/>
        </w:sectPr>
      </w:pPr>
      <w:r>
        <w:rPr>
          <w:rFonts w:hint="eastAsia" w:ascii="宋体" w:hAnsi="宋体" w:eastAsia="宋体" w:cs="宋体"/>
        </w:rPr>
        <w:fldChar w:fldCharType="end"/>
      </w:r>
    </w:p>
    <w:bookmarkEnd w:id="21"/>
    <w:p w14:paraId="1554842B">
      <w:pPr>
        <w:pStyle w:val="90"/>
        <w:spacing w:before="560" w:after="360"/>
      </w:pPr>
      <w:bookmarkStart w:id="30" w:name="_Toc30122"/>
      <w:bookmarkStart w:id="31" w:name="BookMark2"/>
      <w:r>
        <w:rPr>
          <w:rFonts w:hint="eastAsia"/>
          <w:spacing w:val="320"/>
        </w:rPr>
        <w:t>前</w:t>
      </w:r>
      <w:r>
        <w:rPr>
          <w:rFonts w:hint="eastAsia"/>
        </w:rPr>
        <w:t>言</w:t>
      </w:r>
      <w:bookmarkEnd w:id="22"/>
      <w:bookmarkEnd w:id="23"/>
      <w:bookmarkEnd w:id="24"/>
      <w:bookmarkEnd w:id="25"/>
      <w:bookmarkEnd w:id="26"/>
      <w:bookmarkEnd w:id="27"/>
      <w:bookmarkEnd w:id="28"/>
      <w:bookmarkEnd w:id="29"/>
      <w:bookmarkEnd w:id="30"/>
    </w:p>
    <w:p w14:paraId="665F1FFD">
      <w:pPr>
        <w:pStyle w:val="57"/>
        <w:ind w:firstLine="420"/>
      </w:pPr>
      <w:r>
        <w:rPr>
          <w:rFonts w:hint="eastAsia"/>
        </w:rPr>
        <w:t>本文件按照GB/T 1.1—2020《标准化工作导则  第1部分：标准化文件的结构和起草规则》的规定起草。</w:t>
      </w:r>
    </w:p>
    <w:p w14:paraId="6A5B19DB">
      <w:pPr>
        <w:pStyle w:val="57"/>
        <w:ind w:firstLine="420"/>
      </w:pPr>
      <w:r>
        <w:rPr>
          <w:rFonts w:hint="eastAsia"/>
        </w:rPr>
        <w:t>本文件的某些内容可能涉及专利。本文件的发布机构不承担识别专利的责任。</w:t>
      </w:r>
    </w:p>
    <w:p w14:paraId="43FBC472">
      <w:pPr>
        <w:pStyle w:val="57"/>
        <w:ind w:firstLine="420"/>
      </w:pPr>
      <w:r>
        <w:rPr>
          <w:rFonts w:hint="eastAsia"/>
        </w:rPr>
        <w:t>本文件由中国出入境检验检疫协会综合质量服务标准化技术委员会（CIQA/TC12）提出并归口。</w:t>
      </w:r>
    </w:p>
    <w:p w14:paraId="7BBB63BE">
      <w:pPr>
        <w:pStyle w:val="57"/>
        <w:ind w:firstLine="420"/>
        <w:rPr>
          <w:rFonts w:hint="eastAsia" w:eastAsia="宋体"/>
          <w:lang w:eastAsia="zh-CN"/>
        </w:rPr>
      </w:pPr>
      <w:r>
        <w:rPr>
          <w:rFonts w:hint="eastAsia"/>
        </w:rPr>
        <w:t>本文件起草单位：中检集团天帷信息技术（安徽）股份有限公司、中国检验认证集团测试技术有限公司、广东颐点科技有限公司、安徽飞数信息科技有限公司、中检集团南方测试股份有限公司、数字安徽有限责任公司、安徽省数据交易所、北京海润天睿（合肥）律师事务所、中检技术服务（深圳）有限公司、上海君澜律师事务所</w:t>
      </w:r>
      <w:r>
        <w:rPr>
          <w:rFonts w:hint="eastAsia"/>
          <w:lang w:eastAsia="zh-CN"/>
        </w:rPr>
        <w:t>。</w:t>
      </w:r>
    </w:p>
    <w:p w14:paraId="5EEE7638">
      <w:pPr>
        <w:pStyle w:val="57"/>
        <w:ind w:firstLine="420"/>
      </w:pPr>
      <w:r>
        <w:rPr>
          <w:rFonts w:hint="eastAsia"/>
        </w:rPr>
        <w:t>本文件主要起草人：刘京、杜冲、</w:t>
      </w:r>
      <w:r>
        <w:rPr>
          <w:rFonts w:hint="eastAsia"/>
          <w:lang w:val="en-US" w:eastAsia="zh-CN"/>
        </w:rPr>
        <w:t>胡兴元</w:t>
      </w:r>
      <w:r>
        <w:rPr>
          <w:rFonts w:hint="eastAsia"/>
          <w:lang w:eastAsia="zh-CN"/>
        </w:rPr>
        <w:t>、</w:t>
      </w:r>
      <w:r>
        <w:rPr>
          <w:rFonts w:hint="eastAsia"/>
        </w:rPr>
        <w:t>武建双、石亮、杨勇、谭昶、蒋毅、吴贻军、刘炜胜、吴俊、刘池、</w:t>
      </w:r>
      <w:r>
        <w:rPr>
          <w:rFonts w:hint="eastAsia"/>
          <w:lang w:val="en-US" w:eastAsia="zh-CN"/>
        </w:rPr>
        <w:t>孙宝、</w:t>
      </w:r>
      <w:r>
        <w:rPr>
          <w:rFonts w:hint="eastAsia"/>
        </w:rPr>
        <w:t>杨娜丽、杨金平、夏梦雅</w:t>
      </w:r>
      <w:r>
        <w:rPr>
          <w:rFonts w:hint="eastAsia"/>
          <w:lang w:eastAsia="zh-CN"/>
        </w:rPr>
        <w:t>、顾成苗、李婧旖</w:t>
      </w:r>
      <w:r>
        <w:rPr>
          <w:rFonts w:hint="eastAsia"/>
        </w:rPr>
        <w:t>。</w:t>
      </w:r>
    </w:p>
    <w:p w14:paraId="6692988A">
      <w:pPr>
        <w:pStyle w:val="57"/>
        <w:ind w:firstLine="420"/>
      </w:pPr>
      <w:r>
        <w:rPr>
          <w:rFonts w:hint="eastAsia"/>
        </w:rPr>
        <w:t>本文件版权归中国出入境检验检疫协会所有。任何单位或个人未经许可，不得以营利为目的，印刷、出版、翻译、转发或复制全文或部分文字。</w:t>
      </w:r>
    </w:p>
    <w:p w14:paraId="20F2D9E6">
      <w:pPr>
        <w:pStyle w:val="57"/>
        <w:ind w:firstLine="420"/>
      </w:pPr>
    </w:p>
    <w:p w14:paraId="1F9E1862">
      <w:pPr>
        <w:pStyle w:val="57"/>
        <w:ind w:firstLine="420"/>
        <w:sectPr>
          <w:pgSz w:w="11906" w:h="16838"/>
          <w:pgMar w:top="1928" w:right="1134" w:bottom="1134" w:left="1134" w:header="1418" w:footer="1134" w:gutter="284"/>
          <w:pgNumType w:fmt="upperRoman"/>
          <w:cols w:space="425" w:num="1"/>
          <w:formProt w:val="0"/>
          <w:docGrid w:linePitch="312" w:charSpace="0"/>
        </w:sectPr>
      </w:pPr>
    </w:p>
    <w:bookmarkEnd w:id="31"/>
    <w:p w14:paraId="0F1A3A8D">
      <w:pPr>
        <w:spacing w:line="20" w:lineRule="exact"/>
        <w:jc w:val="center"/>
        <w:rPr>
          <w:rFonts w:hint="eastAsia" w:ascii="黑体" w:hAnsi="黑体" w:eastAsia="黑体"/>
          <w:sz w:val="32"/>
          <w:szCs w:val="32"/>
        </w:rPr>
      </w:pPr>
      <w:bookmarkStart w:id="32" w:name="BookMark4"/>
    </w:p>
    <w:p w14:paraId="7C44E99E">
      <w:pPr>
        <w:spacing w:line="20" w:lineRule="exact"/>
        <w:jc w:val="center"/>
        <w:rPr>
          <w:rFonts w:hint="eastAsia" w:ascii="黑体" w:hAnsi="黑体" w:eastAsia="黑体"/>
          <w:sz w:val="32"/>
          <w:szCs w:val="32"/>
        </w:rPr>
      </w:pPr>
    </w:p>
    <w:sdt>
      <w:sdtPr>
        <w:tag w:val="NEW_STAND_NAME"/>
        <w:id w:val="595910757"/>
        <w:lock w:val="sdtLocked"/>
        <w:placeholder>
          <w:docPart w:val="9B3BEDB4F2724F9D81F4444A5CCE266D"/>
        </w:placeholder>
      </w:sdtPr>
      <w:sdtContent>
        <w:p w14:paraId="7AC34DA7">
          <w:pPr>
            <w:pStyle w:val="178"/>
            <w:bidi w:val="0"/>
            <w:spacing w:before="313" w:beforeLines="100" w:after="687" w:afterLines="220"/>
            <w:rPr>
              <w:rFonts w:hint="eastAsia"/>
            </w:rPr>
          </w:pPr>
          <w:bookmarkStart w:id="33" w:name="OLE_LINK1"/>
          <w:bookmarkStart w:id="34" w:name="NEW_STAND_NAME"/>
          <w:r>
            <w:rPr>
              <w:rFonts w:hint="eastAsia"/>
              <w:lang w:eastAsia="zh-CN"/>
            </w:rPr>
            <w:t>面向人工智能的数据集通用检验检测要求</w:t>
          </w:r>
        </w:p>
      </w:sdtContent>
    </w:sdt>
    <w:bookmarkEnd w:id="33"/>
    <w:bookmarkEnd w:id="34"/>
    <w:p w14:paraId="3186F83B">
      <w:pPr>
        <w:pStyle w:val="105"/>
        <w:spacing w:before="240" w:after="240"/>
      </w:pPr>
      <w:bookmarkStart w:id="35" w:name="_Toc17357"/>
      <w:bookmarkStart w:id="36" w:name="_Toc21868"/>
      <w:bookmarkStart w:id="37" w:name="_Toc17233325"/>
      <w:bookmarkStart w:id="38" w:name="_Toc24884211"/>
      <w:bookmarkStart w:id="39" w:name="_Toc17233333"/>
      <w:bookmarkStart w:id="40" w:name="_Toc736"/>
      <w:bookmarkStart w:id="41" w:name="_Toc26986530"/>
      <w:bookmarkStart w:id="42" w:name="_Toc26718930"/>
      <w:bookmarkStart w:id="43" w:name="_Toc24884218"/>
      <w:bookmarkStart w:id="44" w:name="_Toc26986771"/>
      <w:bookmarkStart w:id="45" w:name="_Toc97192964"/>
      <w:bookmarkStart w:id="46" w:name="_Toc18837"/>
      <w:bookmarkStart w:id="47" w:name="_Toc24729"/>
      <w:bookmarkStart w:id="48" w:name="_Toc3327"/>
      <w:bookmarkStart w:id="49" w:name="_Toc15908"/>
      <w:bookmarkStart w:id="50" w:name="_Toc26648465"/>
      <w:bookmarkStart w:id="51" w:name="_Toc27370"/>
      <w:bookmarkStart w:id="52" w:name="_Toc22508"/>
      <w:r>
        <w:rPr>
          <w:rFonts w:hint="eastAsia"/>
        </w:rPr>
        <w:t>范围</w:t>
      </w:r>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p w14:paraId="21EDACF4">
      <w:pPr>
        <w:pStyle w:val="57"/>
        <w:ind w:firstLine="420"/>
      </w:pPr>
      <w:bookmarkStart w:id="53" w:name="_Toc24884219"/>
      <w:bookmarkStart w:id="54" w:name="_Toc26648466"/>
      <w:bookmarkStart w:id="55" w:name="_Toc24884212"/>
      <w:bookmarkStart w:id="56" w:name="_Toc17233334"/>
      <w:bookmarkStart w:id="57" w:name="_Toc17233326"/>
      <w:r>
        <w:rPr>
          <w:rFonts w:hint="eastAsia"/>
        </w:rPr>
        <w:t>本文件规定了</w:t>
      </w:r>
      <w:r>
        <w:rPr>
          <w:rFonts w:hint="eastAsia"/>
          <w:lang w:val="en-US" w:eastAsia="zh-CN"/>
        </w:rPr>
        <w:t>人工智能用数据集检验检测的基本要求，确立了机构、人员、能力、操作规范、指标体系构建、方法、流程和报告等方面要求</w:t>
      </w:r>
      <w:r>
        <w:rPr>
          <w:rFonts w:hint="eastAsia"/>
        </w:rPr>
        <w:t>。</w:t>
      </w:r>
    </w:p>
    <w:p w14:paraId="3610C4FD">
      <w:pPr>
        <w:pStyle w:val="57"/>
        <w:ind w:firstLine="420"/>
      </w:pPr>
      <w:r>
        <w:rPr>
          <w:rFonts w:hint="eastAsia"/>
        </w:rPr>
        <w:t>本文件适用于指导数据服务需求方对人工智能数据集进行质量管理引导与选型支撑，也可作为数据提供方衡量自身数据集质量管控能力的标准依据。</w:t>
      </w:r>
    </w:p>
    <w:p w14:paraId="3C61E82A">
      <w:pPr>
        <w:pStyle w:val="105"/>
        <w:spacing w:before="240" w:after="240"/>
      </w:pPr>
      <w:bookmarkStart w:id="58" w:name="_Toc25984"/>
      <w:bookmarkStart w:id="59" w:name="_Toc2383"/>
      <w:bookmarkStart w:id="60" w:name="_Toc97192965"/>
      <w:bookmarkStart w:id="61" w:name="_Toc26986772"/>
      <w:bookmarkStart w:id="62" w:name="_Toc26986531"/>
      <w:bookmarkStart w:id="63" w:name="_Toc16459"/>
      <w:bookmarkStart w:id="64" w:name="_Toc5536"/>
      <w:bookmarkStart w:id="65" w:name="_Toc4326"/>
      <w:bookmarkStart w:id="66" w:name="_Toc26718931"/>
      <w:bookmarkStart w:id="67" w:name="_Toc20032"/>
      <w:bookmarkStart w:id="68" w:name="_Toc18615"/>
      <w:bookmarkStart w:id="69" w:name="_Toc2552"/>
      <w:bookmarkStart w:id="70" w:name="_Toc7154"/>
      <w:r>
        <w:rPr>
          <w:rFonts w:hint="eastAsia"/>
        </w:rPr>
        <w:t>规范性引用文件</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sdt>
      <w:sdtPr>
        <w:rPr>
          <w:rFonts w:hint="eastAsia"/>
        </w:rPr>
        <w:id w:val="715848253"/>
        <w:placeholder>
          <w:docPart w:val="78956B8278AF41489B4C226600D2E8C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13146D53">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tbl>
      <w:tblPr>
        <w:tblStyle w:val="28"/>
        <w:tblW w:w="0" w:type="auto"/>
        <w:tblInd w:w="4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68"/>
        <w:gridCol w:w="5386"/>
      </w:tblGrid>
      <w:tr w14:paraId="4C4ED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68" w:type="dxa"/>
          </w:tcPr>
          <w:p w14:paraId="11B2C95E">
            <w:pPr>
              <w:pStyle w:val="57"/>
              <w:ind w:firstLine="0" w:firstLineChars="0"/>
            </w:pPr>
            <w:bookmarkStart w:id="71" w:name="_Toc20602"/>
            <w:bookmarkStart w:id="72" w:name="_Toc7169"/>
            <w:bookmarkStart w:id="73" w:name="_Toc11155"/>
            <w:bookmarkStart w:id="74" w:name="_Toc7117"/>
            <w:bookmarkStart w:id="75" w:name="_Toc97192966"/>
            <w:bookmarkStart w:id="76" w:name="_Toc3497"/>
            <w:bookmarkStart w:id="77" w:name="_Toc32063"/>
            <w:r>
              <w:t>GB/T 5271.1-2000</w:t>
            </w:r>
          </w:p>
        </w:tc>
        <w:tc>
          <w:tcPr>
            <w:tcW w:w="5386" w:type="dxa"/>
          </w:tcPr>
          <w:p w14:paraId="12E3E82E">
            <w:pPr>
              <w:pStyle w:val="57"/>
              <w:ind w:firstLine="0" w:firstLineChars="0"/>
            </w:pPr>
            <w:r>
              <w:rPr>
                <w:rFonts w:hint="eastAsia"/>
              </w:rPr>
              <w:t>信息技术词汇 第1部分：基本术语</w:t>
            </w:r>
          </w:p>
        </w:tc>
      </w:tr>
      <w:tr w14:paraId="2CB14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68" w:type="dxa"/>
          </w:tcPr>
          <w:p w14:paraId="0768F538">
            <w:pPr>
              <w:pStyle w:val="57"/>
              <w:ind w:firstLine="0" w:firstLineChars="0"/>
            </w:pPr>
            <w:r>
              <w:t>GB/T 35295-2017</w:t>
            </w:r>
          </w:p>
        </w:tc>
        <w:tc>
          <w:tcPr>
            <w:tcW w:w="5386" w:type="dxa"/>
          </w:tcPr>
          <w:p w14:paraId="609419DE">
            <w:pPr>
              <w:pStyle w:val="57"/>
              <w:ind w:firstLine="0" w:firstLineChars="0"/>
            </w:pPr>
            <w:r>
              <w:rPr>
                <w:rFonts w:hint="eastAsia"/>
              </w:rPr>
              <w:t>信息技术 大数据 术语</w:t>
            </w:r>
          </w:p>
        </w:tc>
      </w:tr>
      <w:tr w14:paraId="1F44D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68" w:type="dxa"/>
          </w:tcPr>
          <w:p w14:paraId="26F6DE3A">
            <w:pPr>
              <w:pStyle w:val="57"/>
              <w:ind w:firstLine="0" w:firstLineChars="0"/>
            </w:pPr>
            <w:r>
              <w:t>GB/T 36344-2018</w:t>
            </w:r>
          </w:p>
        </w:tc>
        <w:tc>
          <w:tcPr>
            <w:tcW w:w="5386" w:type="dxa"/>
          </w:tcPr>
          <w:p w14:paraId="67B82A8A">
            <w:pPr>
              <w:pStyle w:val="57"/>
              <w:ind w:firstLine="0" w:firstLineChars="0"/>
            </w:pPr>
            <w:r>
              <w:rPr>
                <w:rFonts w:hint="eastAsia"/>
              </w:rPr>
              <w:t>信息技术数据质量评价指标</w:t>
            </w:r>
          </w:p>
        </w:tc>
      </w:tr>
      <w:tr w14:paraId="1F9A7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68" w:type="dxa"/>
          </w:tcPr>
          <w:p w14:paraId="2F04D01C">
            <w:pPr>
              <w:pStyle w:val="57"/>
              <w:ind w:firstLine="0" w:firstLineChars="0"/>
            </w:pPr>
            <w:r>
              <w:t>GB/T44881-2024</w:t>
            </w:r>
          </w:p>
        </w:tc>
        <w:tc>
          <w:tcPr>
            <w:tcW w:w="5386" w:type="dxa"/>
          </w:tcPr>
          <w:p w14:paraId="66B096EA">
            <w:pPr>
              <w:pStyle w:val="57"/>
              <w:ind w:firstLine="0" w:firstLineChars="0"/>
            </w:pPr>
            <w:r>
              <w:rPr>
                <w:rFonts w:hint="eastAsia"/>
              </w:rPr>
              <w:t>物联网数据质量评价方法</w:t>
            </w:r>
          </w:p>
        </w:tc>
      </w:tr>
      <w:tr w14:paraId="0C6FA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68" w:type="dxa"/>
          </w:tcPr>
          <w:p w14:paraId="043621AB">
            <w:pPr>
              <w:pStyle w:val="57"/>
              <w:ind w:firstLine="0" w:firstLineChars="0"/>
            </w:pPr>
            <w:r>
              <w:t>GB/T 45288.1-2025</w:t>
            </w:r>
          </w:p>
        </w:tc>
        <w:tc>
          <w:tcPr>
            <w:tcW w:w="5386" w:type="dxa"/>
          </w:tcPr>
          <w:p w14:paraId="2BB651DF">
            <w:pPr>
              <w:pStyle w:val="57"/>
              <w:ind w:firstLine="0" w:firstLineChars="0"/>
            </w:pPr>
            <w:r>
              <w:rPr>
                <w:rFonts w:hint="eastAsia"/>
              </w:rPr>
              <w:t>人工智能 大模型 第1部分：通用要求</w:t>
            </w:r>
          </w:p>
        </w:tc>
      </w:tr>
      <w:tr w14:paraId="52E7F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68" w:type="dxa"/>
          </w:tcPr>
          <w:p w14:paraId="334ED225">
            <w:pPr>
              <w:pStyle w:val="57"/>
              <w:ind w:firstLine="0" w:firstLineChars="0"/>
            </w:pPr>
            <w:r>
              <w:t>GB/T 45288.2-2025</w:t>
            </w:r>
          </w:p>
        </w:tc>
        <w:tc>
          <w:tcPr>
            <w:tcW w:w="5386" w:type="dxa"/>
          </w:tcPr>
          <w:p w14:paraId="71E0AA08">
            <w:pPr>
              <w:pStyle w:val="57"/>
              <w:ind w:firstLine="0" w:firstLineChars="0"/>
            </w:pPr>
            <w:r>
              <w:rPr>
                <w:rFonts w:hint="eastAsia"/>
              </w:rPr>
              <w:t>人工智能 大模型 第2部分：评测指标与方法</w:t>
            </w:r>
          </w:p>
        </w:tc>
      </w:tr>
    </w:tbl>
    <w:p w14:paraId="281D600F">
      <w:pPr>
        <w:pStyle w:val="105"/>
        <w:spacing w:before="240" w:after="240"/>
      </w:pPr>
      <w:bookmarkStart w:id="78" w:name="_Toc10452"/>
      <w:bookmarkStart w:id="79" w:name="_Toc22796"/>
      <w:bookmarkStart w:id="80" w:name="_Toc5764"/>
      <w:r>
        <w:rPr>
          <w:rFonts w:hint="eastAsia"/>
          <w:szCs w:val="21"/>
        </w:rPr>
        <w:t>术语和定义</w:t>
      </w:r>
      <w:bookmarkEnd w:id="71"/>
      <w:bookmarkEnd w:id="72"/>
      <w:bookmarkEnd w:id="73"/>
      <w:bookmarkEnd w:id="74"/>
      <w:bookmarkEnd w:id="75"/>
      <w:bookmarkEnd w:id="76"/>
      <w:bookmarkEnd w:id="77"/>
      <w:bookmarkEnd w:id="78"/>
      <w:bookmarkEnd w:id="79"/>
      <w:bookmarkEnd w:id="80"/>
    </w:p>
    <w:sdt>
      <w:sdtPr>
        <w:id w:val="-1909835108"/>
        <w:placeholder>
          <w:docPart w:val="DD487E154D8B46B1811108614A11313A"/>
        </w:placeholder>
        <w:comboBox>
          <w:listItem w:displayText="点击并选择适当的引导语" w:value="点击并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09FAF9D1">
          <w:pPr>
            <w:pStyle w:val="57"/>
            <w:ind w:firstLine="420"/>
          </w:pPr>
          <w:bookmarkStart w:id="81" w:name="_Toc26986532"/>
          <w:bookmarkEnd w:id="81"/>
          <w:r>
            <w:t>下列术语和定义适用于本文件。</w:t>
          </w:r>
        </w:p>
      </w:sdtContent>
    </w:sdt>
    <w:p w14:paraId="7C4E7CA5">
      <w:pPr>
        <w:pStyle w:val="224"/>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数据 data</w:t>
      </w:r>
    </w:p>
    <w:p w14:paraId="6A10CF35">
      <w:pPr>
        <w:pStyle w:val="57"/>
        <w:ind w:firstLine="420"/>
      </w:pPr>
      <w:r>
        <w:rPr>
          <w:rFonts w:hint="eastAsia"/>
        </w:rPr>
        <w:t>信息的可再解释的形式化表示，以适用于通信、解释或处理。</w:t>
      </w:r>
    </w:p>
    <w:p w14:paraId="21EA1B78">
      <w:pPr>
        <w:pStyle w:val="224"/>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数据集 dataset</w:t>
      </w:r>
    </w:p>
    <w:p w14:paraId="2D2C7DB2">
      <w:pPr>
        <w:pStyle w:val="57"/>
        <w:ind w:firstLine="420"/>
      </w:pPr>
      <w:r>
        <w:rPr>
          <w:rFonts w:hint="eastAsia"/>
        </w:rPr>
        <w:t>数据记录汇聚的数据形式。</w:t>
      </w:r>
    </w:p>
    <w:p w14:paraId="1EDEEADC">
      <w:pPr>
        <w:pStyle w:val="224"/>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人工智能数据集 artificial intelligence dataset</w:t>
      </w:r>
    </w:p>
    <w:p w14:paraId="68E4C18D">
      <w:pPr>
        <w:pStyle w:val="57"/>
        <w:ind w:firstLine="420"/>
      </w:pPr>
      <w:r>
        <w:rPr>
          <w:rFonts w:hint="eastAsia"/>
        </w:rPr>
        <w:t>用于训练和开发人工智能模型的数据集合。包含图像、文本、语音等大量标注的数据样本，用于训练人工智能系统识别和学习特征模式。</w:t>
      </w:r>
    </w:p>
    <w:p w14:paraId="2AE230F1">
      <w:pPr>
        <w:pStyle w:val="224"/>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szCs w:val="21"/>
        </w:rPr>
        <w:t>数据提供方 data provider</w:t>
      </w:r>
    </w:p>
    <w:p w14:paraId="427C448C">
      <w:pPr>
        <w:pStyle w:val="57"/>
        <w:ind w:firstLine="420"/>
      </w:pPr>
      <w:r>
        <w:rPr>
          <w:rFonts w:hint="eastAsia"/>
        </w:rPr>
        <w:t>通过主动或被动方式，向其他主体（如数据需求方、数据平台、数据使用者等）提供数据资源的个人、组织或实体。</w:t>
      </w:r>
    </w:p>
    <w:p w14:paraId="345E9523">
      <w:pPr>
        <w:pStyle w:val="224"/>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数据需求方 data customer</w:t>
      </w:r>
    </w:p>
    <w:p w14:paraId="2B8C373C">
      <w:pPr>
        <w:pStyle w:val="57"/>
        <w:ind w:firstLine="420"/>
      </w:pPr>
      <w:r>
        <w:rPr>
          <w:rFonts w:hint="eastAsia"/>
        </w:rPr>
        <w:t>有数据获取、使用需求的个人或组织。</w:t>
      </w:r>
    </w:p>
    <w:p w14:paraId="69D6C0C1">
      <w:pPr>
        <w:pStyle w:val="224"/>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数据集质量 data set quality</w:t>
      </w:r>
    </w:p>
    <w:p w14:paraId="6EAD9516">
      <w:pPr>
        <w:pStyle w:val="57"/>
        <w:ind w:firstLine="420"/>
      </w:pPr>
      <w:r>
        <w:rPr>
          <w:rFonts w:hint="eastAsia"/>
        </w:rPr>
        <w:t>在指定条件下使用时，数据集的特性满足大模型训练、验证及测试等明确的和隐含的要求的程度。</w:t>
      </w:r>
    </w:p>
    <w:p w14:paraId="62E8F2FF">
      <w:pPr>
        <w:pStyle w:val="105"/>
        <w:spacing w:before="240" w:after="240"/>
      </w:pPr>
      <w:bookmarkStart w:id="82" w:name="_Toc24126"/>
      <w:bookmarkStart w:id="83" w:name="_Toc6681"/>
      <w:bookmarkStart w:id="84" w:name="_Toc1086"/>
      <w:bookmarkStart w:id="85" w:name="_Toc29777"/>
      <w:bookmarkStart w:id="86" w:name="_Toc9740"/>
      <w:bookmarkStart w:id="87" w:name="_Toc13557"/>
      <w:bookmarkStart w:id="88" w:name="_Toc31185"/>
      <w:bookmarkStart w:id="89" w:name="_Toc8332"/>
      <w:bookmarkStart w:id="90" w:name="_Toc15934"/>
      <w:r>
        <w:rPr>
          <w:rFonts w:hint="eastAsia"/>
        </w:rPr>
        <w:t>检验检测机构要求</w:t>
      </w:r>
      <w:bookmarkEnd w:id="82"/>
      <w:bookmarkEnd w:id="83"/>
      <w:bookmarkEnd w:id="84"/>
      <w:bookmarkEnd w:id="85"/>
      <w:bookmarkEnd w:id="86"/>
      <w:bookmarkEnd w:id="87"/>
      <w:bookmarkEnd w:id="88"/>
      <w:bookmarkEnd w:id="89"/>
      <w:bookmarkEnd w:id="90"/>
    </w:p>
    <w:p w14:paraId="1DBF1348">
      <w:pPr>
        <w:pStyle w:val="106"/>
        <w:spacing w:before="0" w:beforeLines="0" w:after="0" w:afterLines="0"/>
      </w:pPr>
      <w:bookmarkStart w:id="91" w:name="_Toc11981"/>
      <w:bookmarkStart w:id="92" w:name="_Toc24346"/>
      <w:bookmarkStart w:id="93" w:name="_Toc25947"/>
      <w:r>
        <w:rPr>
          <w:rFonts w:hint="eastAsia"/>
        </w:rPr>
        <w:t>资质要求</w:t>
      </w:r>
      <w:bookmarkEnd w:id="91"/>
    </w:p>
    <w:p w14:paraId="4653612F">
      <w:pPr>
        <w:pStyle w:val="57"/>
        <w:ind w:firstLine="525" w:firstLineChars="250"/>
      </w:pPr>
      <w:r>
        <w:rPr>
          <w:rFonts w:hint="eastAsia"/>
        </w:rPr>
        <w:t>应从事数据检验检测服务，具备权威资质认证的第三方独立机构。</w:t>
      </w:r>
      <w:bookmarkEnd w:id="92"/>
      <w:bookmarkEnd w:id="93"/>
    </w:p>
    <w:p w14:paraId="07C4327A">
      <w:pPr>
        <w:pStyle w:val="106"/>
        <w:spacing w:beforeLines="0" w:afterLines="0"/>
      </w:pPr>
      <w:bookmarkStart w:id="94" w:name="_Toc23714"/>
      <w:bookmarkStart w:id="95" w:name="_Toc2830"/>
      <w:r>
        <w:rPr>
          <w:rFonts w:hint="eastAsia"/>
        </w:rPr>
        <w:t>制度要求</w:t>
      </w:r>
      <w:bookmarkEnd w:id="94"/>
    </w:p>
    <w:p w14:paraId="0CD1231A">
      <w:pPr>
        <w:pStyle w:val="57"/>
        <w:ind w:firstLine="525" w:firstLineChars="250"/>
      </w:pPr>
      <w:r>
        <w:rPr>
          <w:rFonts w:hint="eastAsia"/>
        </w:rPr>
        <w:t>应建有数据安全保护工作机制，确定责任部门，配备数据安全员。</w:t>
      </w:r>
      <w:bookmarkEnd w:id="95"/>
    </w:p>
    <w:p w14:paraId="4E3C5970">
      <w:pPr>
        <w:pStyle w:val="106"/>
        <w:spacing w:beforeLines="0" w:afterLines="0"/>
      </w:pPr>
      <w:bookmarkStart w:id="96" w:name="_Toc28785"/>
      <w:bookmarkStart w:id="97" w:name="_Toc19085"/>
      <w:r>
        <w:rPr>
          <w:rFonts w:hint="eastAsia"/>
        </w:rPr>
        <w:t>场地要求</w:t>
      </w:r>
      <w:bookmarkEnd w:id="96"/>
    </w:p>
    <w:p w14:paraId="7C3FF1FA">
      <w:pPr>
        <w:pStyle w:val="57"/>
        <w:ind w:firstLine="525" w:firstLineChars="250"/>
      </w:pPr>
      <w:r>
        <w:rPr>
          <w:rFonts w:hint="eastAsia"/>
        </w:rPr>
        <w:t>应具有开展商业数据集检验检测工作的场所、设施设备以及工具。</w:t>
      </w:r>
      <w:bookmarkEnd w:id="97"/>
    </w:p>
    <w:p w14:paraId="3C331149">
      <w:pPr>
        <w:pStyle w:val="106"/>
        <w:spacing w:beforeLines="0" w:afterLines="0"/>
      </w:pPr>
      <w:bookmarkStart w:id="98" w:name="_Toc32141"/>
      <w:bookmarkStart w:id="99" w:name="_Toc5423"/>
      <w:r>
        <w:rPr>
          <w:rFonts w:hint="eastAsia"/>
        </w:rPr>
        <w:t>规范要求</w:t>
      </w:r>
      <w:bookmarkEnd w:id="98"/>
    </w:p>
    <w:p w14:paraId="0E2AF4F7">
      <w:pPr>
        <w:pStyle w:val="57"/>
        <w:ind w:firstLine="525" w:firstLineChars="250"/>
      </w:pPr>
      <w:r>
        <w:rPr>
          <w:rFonts w:hint="eastAsia"/>
        </w:rPr>
        <w:t>应建有健全的规章制度和规范的检测</w:t>
      </w:r>
      <w:bookmarkEnd w:id="99"/>
      <w:r>
        <w:rPr>
          <w:rFonts w:hint="eastAsia"/>
        </w:rPr>
        <w:t>流程，出具完整规范的检测报告。</w:t>
      </w:r>
    </w:p>
    <w:p w14:paraId="21045A3C">
      <w:pPr>
        <w:pStyle w:val="105"/>
        <w:spacing w:before="240" w:after="240"/>
      </w:pPr>
      <w:bookmarkStart w:id="100" w:name="_Toc10691"/>
      <w:bookmarkStart w:id="101" w:name="_Toc28656"/>
      <w:bookmarkStart w:id="102" w:name="_Toc31669"/>
      <w:bookmarkStart w:id="103" w:name="_Toc19260"/>
      <w:bookmarkStart w:id="104" w:name="_Toc15277"/>
      <w:bookmarkStart w:id="105" w:name="_Toc23378"/>
      <w:bookmarkStart w:id="106" w:name="_Toc24666"/>
      <w:r>
        <w:rPr>
          <w:rFonts w:hint="eastAsia"/>
        </w:rPr>
        <w:t>人员</w:t>
      </w:r>
      <w:bookmarkEnd w:id="100"/>
      <w:bookmarkEnd w:id="101"/>
      <w:bookmarkEnd w:id="102"/>
      <w:bookmarkEnd w:id="103"/>
      <w:r>
        <w:rPr>
          <w:rFonts w:hint="eastAsia"/>
        </w:rPr>
        <w:t>要求</w:t>
      </w:r>
      <w:bookmarkEnd w:id="104"/>
      <w:bookmarkEnd w:id="105"/>
      <w:bookmarkEnd w:id="106"/>
    </w:p>
    <w:p w14:paraId="3F06739B">
      <w:pPr>
        <w:pStyle w:val="106"/>
        <w:spacing w:before="120" w:after="120"/>
      </w:pPr>
      <w:bookmarkStart w:id="107" w:name="_Toc22185"/>
      <w:bookmarkStart w:id="108" w:name="_Toc567"/>
      <w:bookmarkStart w:id="109" w:name="_Toc27216"/>
      <w:r>
        <w:rPr>
          <w:rFonts w:hint="eastAsia"/>
        </w:rPr>
        <w:t>检测人员要求</w:t>
      </w:r>
      <w:bookmarkEnd w:id="107"/>
      <w:bookmarkEnd w:id="108"/>
      <w:bookmarkEnd w:id="109"/>
    </w:p>
    <w:p w14:paraId="758DE9E8">
      <w:pPr>
        <w:pStyle w:val="57"/>
        <w:ind w:firstLine="420"/>
      </w:pPr>
      <w:r>
        <w:rPr>
          <w:rFonts w:hint="eastAsia"/>
        </w:rPr>
        <w:t>宜熟悉数据标注工作、具备商业秘密保护相关知识并满足下列要求，包括但不限于：</w:t>
      </w:r>
    </w:p>
    <w:p w14:paraId="605358FF">
      <w:pPr>
        <w:pStyle w:val="57"/>
        <w:ind w:firstLine="420"/>
      </w:pPr>
      <w:r>
        <w:rPr>
          <w:rFonts w:hint="eastAsia"/>
        </w:rPr>
        <w:t>1）应遵守基本的职业道德和相关的规章制度要求。</w:t>
      </w:r>
    </w:p>
    <w:p w14:paraId="788A283E">
      <w:pPr>
        <w:pStyle w:val="57"/>
        <w:ind w:firstLine="420"/>
      </w:pPr>
      <w:r>
        <w:rPr>
          <w:rFonts w:hint="eastAsia"/>
        </w:rPr>
        <w:t>2）检验检测人员应具备开展检验检测项目的基本能力，包括评估软件工具使用能力、相关专业能力和数据处理/修复能力等。</w:t>
      </w:r>
    </w:p>
    <w:p w14:paraId="6736CB28">
      <w:pPr>
        <w:pStyle w:val="57"/>
        <w:ind w:firstLine="420"/>
      </w:pPr>
      <w:r>
        <w:rPr>
          <w:rFonts w:hint="eastAsia"/>
        </w:rPr>
        <w:t>3）检验检测项目对人员有资质要求的，检验检测人员应按照相关法规的要求取得相应资格。</w:t>
      </w:r>
    </w:p>
    <w:p w14:paraId="3C1CA874">
      <w:pPr>
        <w:pStyle w:val="57"/>
        <w:ind w:firstLine="420"/>
      </w:pPr>
      <w:r>
        <w:rPr>
          <w:rFonts w:hint="eastAsia"/>
        </w:rPr>
        <w:t>4）定期参加保密培训，熟悉保密职责和保密事项范围。</w:t>
      </w:r>
    </w:p>
    <w:p w14:paraId="32774BB3">
      <w:pPr>
        <w:pStyle w:val="106"/>
        <w:spacing w:before="120" w:after="120"/>
      </w:pPr>
      <w:bookmarkStart w:id="110" w:name="_Toc1021"/>
      <w:bookmarkStart w:id="111" w:name="_Toc8928"/>
      <w:bookmarkStart w:id="112" w:name="_Toc27572"/>
      <w:bookmarkStart w:id="113" w:name="_Toc5923"/>
      <w:bookmarkStart w:id="114" w:name="_Toc21616"/>
      <w:bookmarkStart w:id="115" w:name="_Toc28058"/>
      <w:bookmarkStart w:id="116" w:name="_Toc31455"/>
      <w:r>
        <w:rPr>
          <w:rFonts w:hint="eastAsia"/>
        </w:rPr>
        <w:t>外部专家</w:t>
      </w:r>
      <w:bookmarkEnd w:id="110"/>
      <w:bookmarkEnd w:id="111"/>
      <w:bookmarkEnd w:id="112"/>
      <w:bookmarkEnd w:id="113"/>
      <w:bookmarkEnd w:id="114"/>
      <w:bookmarkEnd w:id="115"/>
      <w:r>
        <w:rPr>
          <w:rFonts w:hint="eastAsia"/>
        </w:rPr>
        <w:t>要求</w:t>
      </w:r>
      <w:bookmarkEnd w:id="116"/>
    </w:p>
    <w:p w14:paraId="259FD889">
      <w:pPr>
        <w:pStyle w:val="57"/>
        <w:ind w:firstLine="420"/>
      </w:pPr>
      <w:r>
        <w:rPr>
          <w:rFonts w:hint="eastAsia"/>
        </w:rPr>
        <w:t>1）应具备丰富的数据集质量检验检测领域知识。</w:t>
      </w:r>
    </w:p>
    <w:p w14:paraId="0042D6B1">
      <w:pPr>
        <w:pStyle w:val="57"/>
        <w:ind w:firstLine="420"/>
      </w:pPr>
      <w:r>
        <w:rPr>
          <w:rFonts w:hint="eastAsia"/>
        </w:rPr>
        <w:t>2）应具备较强的相关技术领域专业知识。</w:t>
      </w:r>
    </w:p>
    <w:p w14:paraId="1F32EC64">
      <w:pPr>
        <w:pStyle w:val="57"/>
        <w:ind w:firstLine="420"/>
      </w:pPr>
      <w:r>
        <w:rPr>
          <w:rFonts w:hint="eastAsia"/>
        </w:rPr>
        <w:t>3）应具备对技术问题的独立理解、分析、判断能力。</w:t>
      </w:r>
    </w:p>
    <w:p w14:paraId="7FA3729F">
      <w:pPr>
        <w:pStyle w:val="57"/>
        <w:ind w:firstLine="420"/>
      </w:pPr>
      <w:r>
        <w:rPr>
          <w:rFonts w:hint="eastAsia"/>
        </w:rPr>
        <w:t>4）应具备能就相关技术问题进行交流沟通的能力。</w:t>
      </w:r>
    </w:p>
    <w:p w14:paraId="3C713220">
      <w:pPr>
        <w:pStyle w:val="105"/>
        <w:spacing w:before="240" w:after="240"/>
      </w:pPr>
      <w:bookmarkStart w:id="117" w:name="_Toc15972"/>
      <w:bookmarkStart w:id="118" w:name="_Toc31200"/>
      <w:bookmarkStart w:id="119" w:name="_Toc14533"/>
      <w:bookmarkStart w:id="120" w:name="_Toc27497"/>
      <w:bookmarkStart w:id="121" w:name="_Toc17626"/>
      <w:bookmarkStart w:id="122" w:name="_Toc28655"/>
      <w:bookmarkStart w:id="123" w:name="_Toc3838"/>
      <w:bookmarkStart w:id="124" w:name="_Toc25211"/>
      <w:bookmarkStart w:id="125" w:name="_Toc6356"/>
      <w:r>
        <w:rPr>
          <w:rFonts w:hint="eastAsia"/>
        </w:rPr>
        <w:t>检验检测能力要求</w:t>
      </w:r>
      <w:bookmarkEnd w:id="117"/>
      <w:bookmarkEnd w:id="118"/>
      <w:bookmarkEnd w:id="119"/>
      <w:bookmarkEnd w:id="120"/>
      <w:bookmarkEnd w:id="121"/>
      <w:bookmarkEnd w:id="122"/>
      <w:bookmarkEnd w:id="123"/>
      <w:bookmarkEnd w:id="124"/>
      <w:bookmarkEnd w:id="125"/>
    </w:p>
    <w:p w14:paraId="5D9CD2E9">
      <w:pPr>
        <w:pStyle w:val="57"/>
        <w:ind w:firstLine="420"/>
      </w:pPr>
      <w:r>
        <w:rPr>
          <w:rFonts w:hint="eastAsia"/>
        </w:rPr>
        <w:t>1）应能规划检测用例：明确涵盖检验检测指标、方法（含依据）、数据集对象/特性、操作步骤及配套工具。</w:t>
      </w:r>
    </w:p>
    <w:p w14:paraId="645413F4">
      <w:pPr>
        <w:pStyle w:val="57"/>
        <w:ind w:firstLine="420"/>
      </w:pPr>
      <w:r>
        <w:rPr>
          <w:rFonts w:hint="eastAsia"/>
        </w:rPr>
        <w:t>2）应能规范检测流程：遵循标准化执行流程，建立质量管控机制与异常上报规程。</w:t>
      </w:r>
    </w:p>
    <w:p w14:paraId="088E5348">
      <w:pPr>
        <w:pStyle w:val="57"/>
        <w:ind w:firstLine="420"/>
      </w:pPr>
      <w:r>
        <w:rPr>
          <w:rFonts w:hint="eastAsia"/>
        </w:rPr>
        <w:t>3）应能运用检测工具：熟练运用自动化工具（如统计分析、可视化、缺陷检测工具等）提升检验效率与准确性。</w:t>
      </w:r>
    </w:p>
    <w:p w14:paraId="571DAA40">
      <w:pPr>
        <w:pStyle w:val="57"/>
        <w:ind w:firstLine="420"/>
        <w:rPr>
          <w:rFonts w:hint="eastAsia"/>
        </w:rPr>
      </w:pPr>
      <w:r>
        <w:rPr>
          <w:rFonts w:hint="eastAsia"/>
        </w:rPr>
        <w:t>4）应能管理检测记录：规范记录全过程及关键细节，按要求归档，确保结果可重现和过程可追溯。</w:t>
      </w:r>
    </w:p>
    <w:p w14:paraId="6C256FDE">
      <w:pPr>
        <w:pStyle w:val="105"/>
        <w:spacing w:before="240" w:after="240"/>
      </w:pPr>
      <w:bookmarkStart w:id="126" w:name="_Toc5752"/>
      <w:bookmarkStart w:id="127" w:name="_Toc687"/>
      <w:bookmarkStart w:id="128" w:name="_Toc16220"/>
      <w:bookmarkStart w:id="129" w:name="_Toc7113"/>
      <w:bookmarkStart w:id="130" w:name="_Toc3608"/>
      <w:bookmarkStart w:id="131" w:name="_Toc2784"/>
      <w:bookmarkStart w:id="132" w:name="_Toc12180"/>
      <w:bookmarkStart w:id="133" w:name="_Toc3557"/>
      <w:bookmarkStart w:id="134" w:name="_Toc17931"/>
      <w:r>
        <w:rPr>
          <w:rFonts w:hint="eastAsia"/>
        </w:rPr>
        <w:t>操作规范</w:t>
      </w:r>
      <w:bookmarkEnd w:id="126"/>
      <w:bookmarkEnd w:id="127"/>
      <w:bookmarkEnd w:id="128"/>
      <w:bookmarkEnd w:id="129"/>
      <w:bookmarkEnd w:id="130"/>
      <w:bookmarkEnd w:id="131"/>
      <w:r>
        <w:rPr>
          <w:rFonts w:hint="eastAsia"/>
        </w:rPr>
        <w:t>要求</w:t>
      </w:r>
      <w:bookmarkEnd w:id="132"/>
      <w:bookmarkEnd w:id="133"/>
      <w:bookmarkEnd w:id="134"/>
    </w:p>
    <w:p w14:paraId="734181F8">
      <w:pPr>
        <w:pStyle w:val="57"/>
        <w:keepNext w:val="0"/>
        <w:keepLines w:val="0"/>
        <w:pageBreakBefore w:val="0"/>
        <w:widowControl/>
        <w:kinsoku/>
        <w:wordWrap/>
        <w:overflowPunct/>
        <w:topLinePunct w:val="0"/>
        <w:autoSpaceDE w:val="0"/>
        <w:autoSpaceDN w:val="0"/>
        <w:bidi w:val="0"/>
        <w:adjustRightInd/>
        <w:snapToGrid/>
        <w:ind w:firstLine="420"/>
        <w:textAlignment w:val="auto"/>
      </w:pPr>
      <w:r>
        <w:rPr>
          <w:rFonts w:hint="eastAsia"/>
        </w:rPr>
        <w:t>数据操作规范应涵盖：操作环境要求（计算、网络、标注、存储环境）；标准化的数据采集、处理、应用及质检流程；重要数据备份机制；基于安全分级的上传规范；按需最小范围下载及防护措施；明确数据存储周期、方式及安全标准；数据安全保护措施（访问控制、加密等）。</w:t>
      </w:r>
    </w:p>
    <w:p w14:paraId="3323FDB5">
      <w:pPr>
        <w:pStyle w:val="57"/>
        <w:keepNext w:val="0"/>
        <w:keepLines w:val="0"/>
        <w:pageBreakBefore w:val="0"/>
        <w:widowControl/>
        <w:kinsoku/>
        <w:wordWrap/>
        <w:overflowPunct/>
        <w:topLinePunct w:val="0"/>
        <w:autoSpaceDE w:val="0"/>
        <w:autoSpaceDN w:val="0"/>
        <w:bidi w:val="0"/>
        <w:adjustRightInd/>
        <w:snapToGrid/>
        <w:ind w:firstLine="420"/>
        <w:textAlignment w:val="auto"/>
      </w:pPr>
      <w:r>
        <w:rPr>
          <w:rFonts w:hint="eastAsia"/>
        </w:rPr>
        <w:t>高级要求可包括：公开展示数据的脱密规范；严格的访问权限控制与监控；过期数据的妥善销毁制度。</w:t>
      </w:r>
    </w:p>
    <w:p w14:paraId="06C8D0EA">
      <w:pPr>
        <w:pStyle w:val="105"/>
        <w:spacing w:before="240" w:after="240"/>
        <w:rPr>
          <w:rFonts w:hint="eastAsia" w:hAnsi="黑体" w:cs="黑体"/>
          <w:szCs w:val="21"/>
        </w:rPr>
      </w:pPr>
      <w:bookmarkStart w:id="135" w:name="_Toc15283"/>
      <w:bookmarkStart w:id="136" w:name="_Toc22463"/>
      <w:bookmarkStart w:id="137" w:name="_Toc15938"/>
      <w:bookmarkStart w:id="138" w:name="_Toc21350"/>
      <w:bookmarkStart w:id="139" w:name="_Toc9484"/>
      <w:bookmarkStart w:id="140" w:name="_Toc30832"/>
      <w:bookmarkStart w:id="141" w:name="_Toc6822"/>
      <w:bookmarkStart w:id="142" w:name="_Toc9621"/>
      <w:bookmarkStart w:id="143" w:name="_Toc14224"/>
      <w:r>
        <w:rPr>
          <w:rFonts w:hint="eastAsia" w:hAnsi="黑体" w:cs="黑体"/>
          <w:szCs w:val="21"/>
        </w:rPr>
        <w:t>检验检测指标</w:t>
      </w:r>
      <w:bookmarkEnd w:id="135"/>
      <w:bookmarkEnd w:id="136"/>
      <w:bookmarkEnd w:id="137"/>
      <w:bookmarkEnd w:id="138"/>
      <w:bookmarkEnd w:id="139"/>
      <w:bookmarkEnd w:id="140"/>
      <w:r>
        <w:rPr>
          <w:rFonts w:hint="eastAsia" w:hAnsi="黑体" w:cs="黑体"/>
          <w:szCs w:val="21"/>
          <w:lang w:val="en-US" w:eastAsia="zh-CN"/>
        </w:rPr>
        <w:t>体系构建</w:t>
      </w:r>
      <w:r>
        <w:rPr>
          <w:rFonts w:hint="eastAsia" w:hAnsi="黑体" w:cs="黑体"/>
          <w:szCs w:val="21"/>
        </w:rPr>
        <w:t>要求</w:t>
      </w:r>
      <w:bookmarkEnd w:id="141"/>
      <w:bookmarkEnd w:id="142"/>
      <w:bookmarkEnd w:id="143"/>
    </w:p>
    <w:p w14:paraId="2FFC4C40">
      <w:pPr>
        <w:pStyle w:val="106"/>
        <w:spacing w:before="120" w:after="120"/>
      </w:pPr>
      <w:bookmarkStart w:id="144" w:name="_Toc7194"/>
      <w:r>
        <w:rPr>
          <w:rFonts w:hint="eastAsia"/>
        </w:rPr>
        <w:t>检验检测指标框架</w:t>
      </w:r>
      <w:r>
        <w:rPr>
          <w:rFonts w:hint="eastAsia"/>
          <w:lang w:val="en-US" w:eastAsia="zh-CN"/>
        </w:rPr>
        <w:t>要求</w:t>
      </w:r>
      <w:bookmarkEnd w:id="144"/>
    </w:p>
    <w:p w14:paraId="04B7A68C">
      <w:pPr>
        <w:pStyle w:val="57"/>
        <w:keepNext w:val="0"/>
        <w:keepLines w:val="0"/>
        <w:pageBreakBefore w:val="0"/>
        <w:widowControl/>
        <w:kinsoku/>
        <w:wordWrap/>
        <w:overflowPunct/>
        <w:topLinePunct w:val="0"/>
        <w:autoSpaceDE w:val="0"/>
        <w:autoSpaceDN w:val="0"/>
        <w:bidi w:val="0"/>
        <w:adjustRightInd/>
        <w:snapToGrid/>
        <w:ind w:firstLine="420"/>
        <w:textAlignment w:val="auto"/>
        <w:rPr>
          <w:rFonts w:hint="eastAsia"/>
        </w:rPr>
      </w:pPr>
      <w:r>
        <w:rPr>
          <w:rFonts w:hint="eastAsia"/>
        </w:rPr>
        <w:t>构建面向人工智能的数据集质量检验检测指标体系</w:t>
      </w:r>
      <w:r>
        <w:rPr>
          <w:rFonts w:hint="eastAsia"/>
          <w:lang w:val="en-US" w:eastAsia="zh-CN"/>
        </w:rPr>
        <w:t>时</w:t>
      </w:r>
      <w:r>
        <w:rPr>
          <w:rFonts w:hint="eastAsia"/>
        </w:rPr>
        <w:t>，</w:t>
      </w:r>
      <w:r>
        <w:rPr>
          <w:rFonts w:hint="eastAsia"/>
          <w:lang w:val="en-US" w:eastAsia="zh-CN"/>
        </w:rPr>
        <w:t>首先应选取传统数据</w:t>
      </w:r>
      <w:r>
        <w:rPr>
          <w:rFonts w:hint="eastAsia"/>
        </w:rPr>
        <w:t>质量</w:t>
      </w:r>
      <w:r>
        <w:rPr>
          <w:rFonts w:hint="eastAsia"/>
          <w:lang w:val="en-US" w:eastAsia="zh-CN"/>
        </w:rPr>
        <w:t>评价常用</w:t>
      </w:r>
      <w:r>
        <w:rPr>
          <w:rFonts w:hint="eastAsia"/>
        </w:rPr>
        <w:t>的评价指标，比如</w:t>
      </w:r>
      <w:r>
        <w:rPr>
          <w:rFonts w:hint="eastAsia"/>
          <w:lang w:val="en-US" w:eastAsia="zh-CN"/>
        </w:rPr>
        <w:t>数据质量评价的“六性”指标作为一级指标。其次要结合数据集建设和应用的特殊性，应选取那些能展现其特性的指标，将均衡性、稠密性和多样性</w:t>
      </w:r>
      <w:r>
        <w:rPr>
          <w:rFonts w:hint="eastAsia"/>
        </w:rPr>
        <w:t>等</w:t>
      </w:r>
      <w:r>
        <w:rPr>
          <w:rFonts w:hint="eastAsia"/>
          <w:lang w:val="en-US" w:eastAsia="zh-CN"/>
        </w:rPr>
        <w:t>作为一级指标</w:t>
      </w:r>
      <w:r>
        <w:rPr>
          <w:rFonts w:hint="eastAsia"/>
        </w:rPr>
        <w:t>。</w:t>
      </w:r>
      <w:r>
        <w:rPr>
          <w:rFonts w:hint="eastAsia"/>
          <w:lang w:val="en-US" w:eastAsia="zh-CN"/>
        </w:rPr>
        <w:t>最后要结合人工智能应用的特殊需要，</w:t>
      </w:r>
      <w:r>
        <w:rPr>
          <w:rFonts w:hint="eastAsia"/>
        </w:rPr>
        <w:t>将数据领域分布的多样性、标注的规范性、标注的准确性、多模态数据内容的一致性</w:t>
      </w:r>
      <w:r>
        <w:rPr>
          <w:rFonts w:hint="eastAsia"/>
          <w:lang w:val="en-US" w:eastAsia="zh-CN"/>
        </w:rPr>
        <w:t>等指标</w:t>
      </w:r>
      <w:r>
        <w:rPr>
          <w:rFonts w:hint="eastAsia"/>
        </w:rPr>
        <w:t>纳入到</w:t>
      </w:r>
      <w:r>
        <w:rPr>
          <w:rFonts w:hint="eastAsia"/>
          <w:lang w:val="en-US" w:eastAsia="zh-CN"/>
        </w:rPr>
        <w:t>二级指标</w:t>
      </w:r>
      <w:r>
        <w:rPr>
          <w:rFonts w:hint="eastAsia"/>
        </w:rPr>
        <w:t>中。</w:t>
      </w:r>
    </w:p>
    <w:p w14:paraId="4220D60B">
      <w:pPr>
        <w:pStyle w:val="57"/>
        <w:keepNext w:val="0"/>
        <w:keepLines w:val="0"/>
        <w:pageBreakBefore w:val="0"/>
        <w:widowControl/>
        <w:kinsoku/>
        <w:wordWrap/>
        <w:overflowPunct/>
        <w:topLinePunct w:val="0"/>
        <w:autoSpaceDE w:val="0"/>
        <w:autoSpaceDN w:val="0"/>
        <w:bidi w:val="0"/>
        <w:adjustRightInd/>
        <w:snapToGrid/>
        <w:ind w:firstLine="420"/>
        <w:textAlignment w:val="auto"/>
        <w:rPr>
          <w:rFonts w:hint="eastAsia"/>
        </w:rPr>
      </w:pPr>
      <w:r>
        <w:rPr>
          <w:rFonts w:hint="eastAsia"/>
        </w:rPr>
        <w:t>构建的</w:t>
      </w:r>
      <w:r>
        <w:rPr>
          <w:rFonts w:hint="eastAsia"/>
          <w:lang w:val="en-US" w:eastAsia="zh-CN"/>
        </w:rPr>
        <w:t>高质量数据集检验检测指标框架见图1，图1中的</w:t>
      </w:r>
      <w:r>
        <w:rPr>
          <w:rFonts w:hint="eastAsia"/>
        </w:rPr>
        <w:t>各指标说明可参见</w:t>
      </w:r>
      <w:r>
        <w:rPr>
          <w:rFonts w:hint="eastAsia"/>
          <w:lang w:val="en-US" w:eastAsia="zh-CN"/>
        </w:rPr>
        <w:t>标准</w:t>
      </w:r>
      <w:r>
        <w:rPr>
          <w:rFonts w:hint="eastAsia"/>
        </w:rPr>
        <w:t>《高质量数据集检验检测指标体系要求》。</w:t>
      </w:r>
    </w:p>
    <w:p w14:paraId="7AC34C28">
      <w:pPr>
        <w:pStyle w:val="57"/>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eastAsia" w:eastAsia="宋体"/>
          <w:lang w:eastAsia="zh-CN"/>
        </w:rPr>
      </w:pPr>
      <w:r>
        <w:rPr>
          <w:rFonts w:hint="eastAsia" w:eastAsia="宋体"/>
          <w:lang w:eastAsia="zh-CN"/>
        </w:rPr>
        <w:drawing>
          <wp:inline distT="0" distB="0" distL="114300" distR="114300">
            <wp:extent cx="5849620" cy="1535430"/>
            <wp:effectExtent l="0" t="0" r="2540" b="3810"/>
            <wp:docPr id="4" name="图片 4" descr="微信图片_20250827233146_69_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50827233146_69_225"/>
                    <pic:cNvPicPr>
                      <a:picLocks noChangeAspect="1"/>
                    </pic:cNvPicPr>
                  </pic:nvPicPr>
                  <pic:blipFill>
                    <a:blip r:embed="rId14"/>
                    <a:stretch>
                      <a:fillRect/>
                    </a:stretch>
                  </pic:blipFill>
                  <pic:spPr>
                    <a:xfrm>
                      <a:off x="0" y="0"/>
                      <a:ext cx="5849620" cy="1535430"/>
                    </a:xfrm>
                    <a:prstGeom prst="rect">
                      <a:avLst/>
                    </a:prstGeom>
                  </pic:spPr>
                </pic:pic>
              </a:graphicData>
            </a:graphic>
          </wp:inline>
        </w:drawing>
      </w:r>
    </w:p>
    <w:p w14:paraId="6A504991">
      <w:pPr>
        <w:pStyle w:val="115"/>
        <w:keepNext w:val="0"/>
        <w:keepLines w:val="0"/>
        <w:pageBreakBefore w:val="0"/>
        <w:widowControl/>
        <w:kinsoku/>
        <w:wordWrap/>
        <w:overflowPunct/>
        <w:topLinePunct w:val="0"/>
        <w:autoSpaceDE/>
        <w:autoSpaceDN/>
        <w:bidi w:val="0"/>
        <w:adjustRightInd/>
        <w:snapToGrid/>
        <w:spacing w:before="0" w:beforeLines="0" w:after="0" w:afterLines="0"/>
        <w:textAlignment w:val="auto"/>
      </w:pPr>
      <w:r>
        <w:rPr>
          <w:rFonts w:hint="eastAsia"/>
        </w:rPr>
        <w:t>高质量数据集检验检测指标框架</w:t>
      </w:r>
    </w:p>
    <w:p w14:paraId="1FBAC86E">
      <w:pPr>
        <w:pStyle w:val="106"/>
        <w:spacing w:before="120" w:after="120"/>
      </w:pPr>
      <w:bookmarkStart w:id="145" w:name="_Toc20369"/>
      <w:r>
        <w:rPr>
          <w:rFonts w:hint="eastAsia"/>
        </w:rPr>
        <w:t>检验检测指标选取</w:t>
      </w:r>
      <w:r>
        <w:rPr>
          <w:rFonts w:hint="eastAsia"/>
          <w:lang w:val="en-US" w:eastAsia="zh-CN"/>
        </w:rPr>
        <w:t>要求</w:t>
      </w:r>
      <w:bookmarkEnd w:id="145"/>
    </w:p>
    <w:p w14:paraId="57571005">
      <w:pPr>
        <w:pStyle w:val="57"/>
        <w:ind w:firstLine="420"/>
      </w:pPr>
      <w:r>
        <w:rPr>
          <w:rFonts w:hint="eastAsia"/>
          <w:lang w:val="en-US" w:eastAsia="zh-CN"/>
        </w:rPr>
        <w:t>在构建出高质量数据集检验检测指标框架后，应基于数据集属性、大模型应用场景与训练阶段</w:t>
      </w:r>
      <w:r>
        <w:rPr>
          <w:rFonts w:hint="eastAsia"/>
        </w:rPr>
        <w:t>，</w:t>
      </w:r>
      <w:r>
        <w:rPr>
          <w:rFonts w:hint="eastAsia"/>
          <w:lang w:val="en-US" w:eastAsia="zh-CN"/>
        </w:rPr>
        <w:t>从高质量数据集检测检验指标框架中选取出适用可行的检验检测</w:t>
      </w:r>
      <w:r>
        <w:rPr>
          <w:rFonts w:hint="eastAsia"/>
        </w:rPr>
        <w:t>指标</w:t>
      </w:r>
      <w:r>
        <w:rPr>
          <w:rFonts w:hint="eastAsia"/>
          <w:lang w:eastAsia="zh-CN"/>
        </w:rPr>
        <w:t>，</w:t>
      </w:r>
      <w:r>
        <w:rPr>
          <w:rFonts w:hint="eastAsia"/>
          <w:lang w:val="en-US" w:eastAsia="zh-CN"/>
        </w:rPr>
        <w:t>建立科学合理的数据集质量检验检测指标体系</w:t>
      </w:r>
      <w:r>
        <w:rPr>
          <w:rFonts w:hint="eastAsia"/>
        </w:rPr>
        <w:t>。</w:t>
      </w:r>
    </w:p>
    <w:p w14:paraId="4039E9B5">
      <w:pPr>
        <w:pStyle w:val="105"/>
        <w:spacing w:before="240" w:after="240"/>
      </w:pPr>
      <w:bookmarkStart w:id="146" w:name="_Toc21435"/>
      <w:bookmarkStart w:id="147" w:name="_Toc3144"/>
      <w:bookmarkStart w:id="148" w:name="_Toc8004"/>
      <w:bookmarkStart w:id="149" w:name="_Toc26194"/>
      <w:bookmarkStart w:id="150" w:name="_Toc3546"/>
      <w:bookmarkStart w:id="151" w:name="_Toc459"/>
      <w:bookmarkStart w:id="152" w:name="_Toc11461"/>
      <w:bookmarkStart w:id="153" w:name="_Toc30740"/>
      <w:bookmarkStart w:id="154" w:name="_Toc23633"/>
      <w:r>
        <w:rPr>
          <w:rFonts w:hint="eastAsia"/>
        </w:rPr>
        <w:t>检验检测方法</w:t>
      </w:r>
      <w:bookmarkEnd w:id="146"/>
      <w:bookmarkEnd w:id="147"/>
      <w:bookmarkEnd w:id="148"/>
      <w:bookmarkEnd w:id="149"/>
      <w:bookmarkEnd w:id="150"/>
      <w:bookmarkEnd w:id="151"/>
      <w:r>
        <w:rPr>
          <w:rFonts w:hint="eastAsia"/>
        </w:rPr>
        <w:t>要求</w:t>
      </w:r>
      <w:bookmarkEnd w:id="152"/>
      <w:bookmarkEnd w:id="153"/>
      <w:bookmarkEnd w:id="154"/>
    </w:p>
    <w:p w14:paraId="6F6384A3">
      <w:pPr>
        <w:pStyle w:val="106"/>
        <w:spacing w:before="120" w:after="120"/>
      </w:pPr>
      <w:bookmarkStart w:id="155" w:name="_Toc13184"/>
      <w:bookmarkStart w:id="156" w:name="_Toc7118"/>
      <w:bookmarkStart w:id="157" w:name="_Toc14412"/>
      <w:bookmarkStart w:id="158" w:name="_Toc24757"/>
      <w:bookmarkStart w:id="159" w:name="_Toc18984"/>
      <w:r>
        <w:rPr>
          <w:rFonts w:hint="eastAsia"/>
        </w:rPr>
        <w:t>定量方法</w:t>
      </w:r>
      <w:bookmarkEnd w:id="155"/>
      <w:bookmarkEnd w:id="156"/>
      <w:bookmarkEnd w:id="157"/>
      <w:bookmarkEnd w:id="158"/>
      <w:bookmarkEnd w:id="159"/>
    </w:p>
    <w:p w14:paraId="57E44205">
      <w:pPr>
        <w:pStyle w:val="57"/>
        <w:ind w:firstLine="420"/>
      </w:pPr>
      <w:r>
        <w:rPr>
          <w:rFonts w:hint="eastAsia"/>
        </w:rPr>
        <w:t>采用确定的量化公式或计算方法作为检验检测准则，提供客观、直观和具体的结果，如通过计算数据集完整度、样本数量缺失度等指标来检验检测数据集质量。</w:t>
      </w:r>
    </w:p>
    <w:p w14:paraId="6AC5ADBA">
      <w:pPr>
        <w:pStyle w:val="106"/>
        <w:spacing w:before="120" w:after="120"/>
      </w:pPr>
      <w:bookmarkStart w:id="160" w:name="_Toc20095"/>
      <w:bookmarkStart w:id="161" w:name="_Toc27208"/>
      <w:bookmarkStart w:id="162" w:name="_Toc14773"/>
      <w:bookmarkStart w:id="163" w:name="_Toc13261"/>
      <w:bookmarkStart w:id="164" w:name="_Toc9664"/>
      <w:r>
        <w:rPr>
          <w:rFonts w:hint="eastAsia"/>
        </w:rPr>
        <w:t>定性方法</w:t>
      </w:r>
      <w:bookmarkEnd w:id="160"/>
      <w:bookmarkEnd w:id="161"/>
      <w:bookmarkEnd w:id="162"/>
      <w:bookmarkEnd w:id="163"/>
      <w:bookmarkEnd w:id="164"/>
    </w:p>
    <w:p w14:paraId="3CA6B8B3">
      <w:pPr>
        <w:pStyle w:val="57"/>
        <w:ind w:firstLine="420"/>
      </w:pPr>
      <w:r>
        <w:rPr>
          <w:rFonts w:hint="eastAsia"/>
        </w:rPr>
        <w:t>基于一定的检验检测准则和人工智能应用需求，从主观角度对数据质量进行描述与检验检测。需建立指标体系、确定检验检测准则和赋值标准，检验检测结果通常采用等级制、百分制或布尔表示等形式。</w:t>
      </w:r>
    </w:p>
    <w:p w14:paraId="630875E1">
      <w:pPr>
        <w:pStyle w:val="106"/>
        <w:spacing w:before="120" w:after="120"/>
      </w:pPr>
      <w:bookmarkStart w:id="165" w:name="_Toc9323"/>
      <w:bookmarkStart w:id="166" w:name="_Toc31155"/>
      <w:bookmarkStart w:id="167" w:name="_Toc737"/>
      <w:bookmarkStart w:id="168" w:name="_Toc15104"/>
      <w:bookmarkStart w:id="169" w:name="_Toc25675"/>
      <w:r>
        <w:rPr>
          <w:rFonts w:hint="eastAsia"/>
        </w:rPr>
        <w:t>综合方法</w:t>
      </w:r>
      <w:bookmarkEnd w:id="165"/>
      <w:bookmarkEnd w:id="166"/>
      <w:bookmarkEnd w:id="167"/>
      <w:bookmarkEnd w:id="168"/>
      <w:bookmarkEnd w:id="169"/>
    </w:p>
    <w:p w14:paraId="569F242F">
      <w:pPr>
        <w:pStyle w:val="57"/>
        <w:ind w:firstLine="420"/>
      </w:pPr>
      <w:r>
        <w:rPr>
          <w:rFonts w:hint="eastAsia"/>
        </w:rPr>
        <w:t xml:space="preserve">将定性和定量方法有机结合，从客观和主观两个方面对数据质量进行评测。例如，先运用层次分析法对检验检测对象进行优劣和层级排序，再进行定量评测，最后根据层级结构加权得出最终评测结果。 </w:t>
      </w:r>
    </w:p>
    <w:p w14:paraId="323C0B0C">
      <w:pPr>
        <w:pStyle w:val="105"/>
        <w:spacing w:before="240" w:after="240"/>
        <w:rPr>
          <w:rFonts w:hint="eastAsia" w:hAnsi="黑体" w:cs="黑体"/>
          <w:kern w:val="2"/>
          <w:szCs w:val="21"/>
        </w:rPr>
      </w:pPr>
      <w:bookmarkStart w:id="170" w:name="_Toc23320"/>
      <w:bookmarkStart w:id="171" w:name="_Toc13287"/>
      <w:bookmarkStart w:id="172" w:name="_Toc14919"/>
      <w:bookmarkStart w:id="173" w:name="_Toc29937"/>
      <w:bookmarkStart w:id="174" w:name="_Toc29037"/>
      <w:bookmarkStart w:id="175" w:name="_Toc13516"/>
      <w:bookmarkStart w:id="176" w:name="_Toc1176"/>
      <w:bookmarkStart w:id="177" w:name="_Toc32084"/>
      <w:bookmarkStart w:id="178" w:name="_Toc7137"/>
      <w:r>
        <w:rPr>
          <w:rFonts w:hint="eastAsia" w:hAnsi="黑体" w:cs="黑体"/>
          <w:kern w:val="2"/>
          <w:szCs w:val="21"/>
        </w:rPr>
        <w:t>检验检测流程</w:t>
      </w:r>
      <w:bookmarkEnd w:id="170"/>
      <w:bookmarkEnd w:id="171"/>
      <w:bookmarkEnd w:id="172"/>
      <w:bookmarkEnd w:id="173"/>
      <w:bookmarkEnd w:id="174"/>
      <w:bookmarkEnd w:id="175"/>
      <w:bookmarkEnd w:id="176"/>
      <w:bookmarkEnd w:id="177"/>
      <w:r>
        <w:rPr>
          <w:rFonts w:hint="eastAsia" w:hAnsi="黑体" w:cs="黑体"/>
          <w:kern w:val="2"/>
          <w:szCs w:val="21"/>
        </w:rPr>
        <w:t>要求</w:t>
      </w:r>
      <w:bookmarkEnd w:id="178"/>
    </w:p>
    <w:p w14:paraId="0D557E89">
      <w:pPr>
        <w:pStyle w:val="106"/>
        <w:spacing w:before="120" w:after="120"/>
      </w:pPr>
      <w:bookmarkStart w:id="179" w:name="_Toc11007"/>
      <w:r>
        <w:rPr>
          <w:rFonts w:hint="eastAsia"/>
        </w:rPr>
        <w:t>检验检测流程</w:t>
      </w:r>
      <w:bookmarkEnd w:id="179"/>
    </w:p>
    <w:p w14:paraId="44809B62">
      <w:pPr>
        <w:pStyle w:val="57"/>
        <w:ind w:firstLine="420"/>
      </w:pPr>
      <w:r>
        <w:rPr>
          <w:rFonts w:hint="eastAsia"/>
        </w:rPr>
        <w:t>人工智能数据集的质量检验检测需要包括以下一般流程，如图2所示。</w:t>
      </w:r>
    </w:p>
    <w:p w14:paraId="6AD1B93D">
      <w:pPr>
        <w:pStyle w:val="57"/>
        <w:ind w:firstLine="0" w:firstLineChars="0"/>
        <w:jc w:val="center"/>
        <w:rPr>
          <w:rFonts w:hint="eastAsia" w:eastAsia="宋体"/>
          <w:sz w:val="24"/>
          <w:szCs w:val="24"/>
          <w:lang w:eastAsia="zh-CN"/>
        </w:rPr>
      </w:pPr>
      <w:r>
        <w:rPr>
          <w:rFonts w:hint="eastAsia" w:eastAsia="宋体"/>
          <w:sz w:val="24"/>
          <w:szCs w:val="24"/>
          <w:lang w:eastAsia="zh-CN"/>
        </w:rPr>
        <w:drawing>
          <wp:inline distT="0" distB="0" distL="114300" distR="114300">
            <wp:extent cx="3755390" cy="3566160"/>
            <wp:effectExtent l="0" t="0" r="8890" b="0"/>
            <wp:docPr id="6" name="图片 6" descr="微信图片_20250827233147_70_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50827233147_70_225"/>
                    <pic:cNvPicPr>
                      <a:picLocks noChangeAspect="1"/>
                    </pic:cNvPicPr>
                  </pic:nvPicPr>
                  <pic:blipFill>
                    <a:blip r:embed="rId15"/>
                    <a:stretch>
                      <a:fillRect/>
                    </a:stretch>
                  </pic:blipFill>
                  <pic:spPr>
                    <a:xfrm>
                      <a:off x="0" y="0"/>
                      <a:ext cx="3755390" cy="3566160"/>
                    </a:xfrm>
                    <a:prstGeom prst="rect">
                      <a:avLst/>
                    </a:prstGeom>
                  </pic:spPr>
                </pic:pic>
              </a:graphicData>
            </a:graphic>
          </wp:inline>
        </w:drawing>
      </w:r>
    </w:p>
    <w:p w14:paraId="0ABC430A">
      <w:pPr>
        <w:pStyle w:val="115"/>
        <w:keepNext w:val="0"/>
        <w:keepLines w:val="0"/>
        <w:pageBreakBefore w:val="0"/>
        <w:widowControl/>
        <w:kinsoku/>
        <w:wordWrap/>
        <w:overflowPunct/>
        <w:topLinePunct w:val="0"/>
        <w:autoSpaceDE/>
        <w:autoSpaceDN/>
        <w:bidi w:val="0"/>
        <w:adjustRightInd/>
        <w:snapToGrid/>
        <w:spacing w:before="0" w:beforeLines="0" w:after="0" w:afterLines="0"/>
        <w:textAlignment w:val="auto"/>
        <w:rPr>
          <w:rFonts w:hint="eastAsia"/>
        </w:rPr>
      </w:pPr>
      <w:r>
        <w:rPr>
          <w:rFonts w:hint="eastAsia"/>
        </w:rPr>
        <w:t>数据集质量检验检测流程图</w:t>
      </w:r>
    </w:p>
    <w:p w14:paraId="73647D11">
      <w:pPr>
        <w:pStyle w:val="106"/>
        <w:spacing w:before="120" w:after="120"/>
      </w:pPr>
      <w:bookmarkStart w:id="180" w:name="_Toc30884"/>
      <w:bookmarkStart w:id="181" w:name="_Toc14756"/>
      <w:bookmarkStart w:id="182" w:name="_Toc25269"/>
      <w:bookmarkStart w:id="183" w:name="_Toc15659"/>
      <w:bookmarkStart w:id="184" w:name="_Toc14734"/>
      <w:bookmarkStart w:id="185" w:name="_Toc4313"/>
      <w:bookmarkStart w:id="186" w:name="_Toc9991"/>
      <w:bookmarkStart w:id="187" w:name="_Toc26010"/>
      <w:bookmarkStart w:id="188" w:name="_Toc5289"/>
      <w:r>
        <w:rPr>
          <w:rFonts w:hint="eastAsia"/>
        </w:rPr>
        <w:t>定义数据集质量需求</w:t>
      </w:r>
      <w:bookmarkEnd w:id="180"/>
      <w:bookmarkEnd w:id="181"/>
      <w:bookmarkEnd w:id="182"/>
      <w:bookmarkEnd w:id="183"/>
      <w:bookmarkEnd w:id="184"/>
      <w:bookmarkEnd w:id="185"/>
      <w:bookmarkEnd w:id="186"/>
      <w:bookmarkEnd w:id="187"/>
      <w:bookmarkEnd w:id="188"/>
    </w:p>
    <w:p w14:paraId="711EFC58">
      <w:pPr>
        <w:pStyle w:val="57"/>
        <w:ind w:firstLine="420"/>
      </w:pPr>
      <w:r>
        <w:rPr>
          <w:rFonts w:hint="eastAsia"/>
        </w:rPr>
        <w:t>从人工智能应用需求、数据源和数据描述等方面挖掘数据质量需求，明确关键数据元素，确定数据质量检验检测维度和指标。</w:t>
      </w:r>
    </w:p>
    <w:p w14:paraId="4CC3AFE2">
      <w:pPr>
        <w:pStyle w:val="106"/>
        <w:spacing w:before="120" w:after="120"/>
      </w:pPr>
      <w:bookmarkStart w:id="189" w:name="_Toc923"/>
      <w:bookmarkStart w:id="190" w:name="_Toc21110"/>
      <w:bookmarkStart w:id="191" w:name="_Toc5883"/>
      <w:bookmarkStart w:id="192" w:name="_Toc10318"/>
      <w:bookmarkStart w:id="193" w:name="_Toc21977"/>
      <w:bookmarkStart w:id="194" w:name="_Toc11511"/>
      <w:bookmarkStart w:id="195" w:name="_Toc15674"/>
      <w:bookmarkStart w:id="196" w:name="_Toc9880"/>
      <w:bookmarkStart w:id="197" w:name="_Toc10189"/>
      <w:r>
        <w:rPr>
          <w:rFonts w:hint="eastAsia"/>
        </w:rPr>
        <w:t>建立数据集质量检验检测框架</w:t>
      </w:r>
      <w:bookmarkEnd w:id="189"/>
      <w:bookmarkEnd w:id="190"/>
      <w:bookmarkEnd w:id="191"/>
      <w:bookmarkEnd w:id="192"/>
      <w:bookmarkEnd w:id="193"/>
      <w:bookmarkEnd w:id="194"/>
      <w:bookmarkEnd w:id="195"/>
      <w:bookmarkEnd w:id="196"/>
      <w:bookmarkEnd w:id="197"/>
    </w:p>
    <w:p w14:paraId="0A3F4AF2">
      <w:pPr>
        <w:pStyle w:val="57"/>
        <w:ind w:firstLine="420"/>
      </w:pPr>
      <w:r>
        <w:rPr>
          <w:rFonts w:hint="eastAsia"/>
        </w:rPr>
        <w:t>根据需求对要评测的人工智能数据集构建检验检测模型，模型要素包括：</w:t>
      </w:r>
    </w:p>
    <w:p w14:paraId="392AD139">
      <w:pPr>
        <w:pStyle w:val="57"/>
        <w:ind w:firstLine="420"/>
      </w:pPr>
      <w:r>
        <w:rPr>
          <w:rFonts w:hint="eastAsia"/>
        </w:rPr>
        <w:t>数据集：明确被检验检测的数据集，并规定描述数据集的元数据。</w:t>
      </w:r>
    </w:p>
    <w:p w14:paraId="3AA95119">
      <w:pPr>
        <w:pStyle w:val="57"/>
        <w:ind w:firstLine="420"/>
      </w:pPr>
      <w:r>
        <w:rPr>
          <w:rFonts w:hint="eastAsia"/>
        </w:rPr>
        <w:t>检验检测指标：按照规定的多个维度（如完整性、规范性、准确性等）确定检验检测指标，可根据实际应用需求增加指标。</w:t>
      </w:r>
    </w:p>
    <w:p w14:paraId="0C98FA50">
      <w:pPr>
        <w:pStyle w:val="57"/>
        <w:ind w:firstLine="420"/>
      </w:pPr>
      <w:r>
        <w:rPr>
          <w:rFonts w:hint="eastAsia"/>
        </w:rPr>
        <w:t>检验检测准则：为每个检验检测指标建立对应的计算方法、检验检测值类型和范围以及优劣等级。</w:t>
      </w:r>
    </w:p>
    <w:p w14:paraId="63C77473">
      <w:pPr>
        <w:pStyle w:val="57"/>
        <w:ind w:firstLine="420"/>
      </w:pPr>
      <w:r>
        <w:rPr>
          <w:rFonts w:hint="eastAsia"/>
        </w:rPr>
        <w:t>期望/门限：给出每个检验检测指标和准则的期望或可接受值域范围。</w:t>
      </w:r>
    </w:p>
    <w:p w14:paraId="75CB521D">
      <w:pPr>
        <w:pStyle w:val="180"/>
      </w:pPr>
      <w:r>
        <w:rPr>
          <w:rFonts w:hint="eastAsia"/>
        </w:rPr>
        <w:t>人工智能数据集质量评测报告可以依照数据质量集检验检测模型来应用到数据集后来输出计算结果、加权后的结果和报告结论等。</w:t>
      </w:r>
    </w:p>
    <w:p w14:paraId="141A29C9">
      <w:pPr>
        <w:pStyle w:val="106"/>
        <w:spacing w:before="120" w:after="120"/>
      </w:pPr>
      <w:bookmarkStart w:id="198" w:name="_Toc694"/>
      <w:bookmarkStart w:id="199" w:name="_Toc4723"/>
      <w:bookmarkStart w:id="200" w:name="_Toc22452"/>
      <w:bookmarkStart w:id="201" w:name="_Toc12444"/>
      <w:bookmarkStart w:id="202" w:name="_Toc28678"/>
      <w:bookmarkStart w:id="203" w:name="_Toc12673"/>
      <w:bookmarkStart w:id="204" w:name="_Toc12359"/>
      <w:bookmarkStart w:id="205" w:name="_Toc21583"/>
      <w:bookmarkStart w:id="206" w:name="_Toc20826"/>
      <w:r>
        <w:rPr>
          <w:rFonts w:hint="eastAsia"/>
          <w:szCs w:val="21"/>
        </w:rPr>
        <w:t>检验检测</w:t>
      </w:r>
      <w:r>
        <w:rPr>
          <w:szCs w:val="21"/>
        </w:rPr>
        <w:t>任务配置</w:t>
      </w:r>
      <w:bookmarkEnd w:id="198"/>
      <w:bookmarkEnd w:id="199"/>
      <w:bookmarkEnd w:id="200"/>
      <w:bookmarkEnd w:id="201"/>
      <w:bookmarkEnd w:id="202"/>
      <w:bookmarkEnd w:id="203"/>
      <w:bookmarkEnd w:id="204"/>
      <w:bookmarkEnd w:id="205"/>
      <w:bookmarkEnd w:id="206"/>
    </w:p>
    <w:p w14:paraId="4AC1B240">
      <w:pPr>
        <w:pStyle w:val="57"/>
        <w:ind w:firstLine="420"/>
      </w:pPr>
      <w:r>
        <w:rPr>
          <w:rFonts w:hint="eastAsia"/>
        </w:rPr>
        <w:t>配备数据集质量检验检测和处理所需的工具，组织专业人员，确保检验检测工作的顺利开展。</w:t>
      </w:r>
    </w:p>
    <w:p w14:paraId="03E01DDE">
      <w:pPr>
        <w:pStyle w:val="106"/>
        <w:spacing w:before="120" w:after="120"/>
      </w:pPr>
      <w:bookmarkStart w:id="207" w:name="_Toc17015"/>
      <w:bookmarkStart w:id="208" w:name="_Toc8255"/>
      <w:bookmarkStart w:id="209" w:name="_Toc23479"/>
      <w:bookmarkStart w:id="210" w:name="_Toc16746"/>
      <w:bookmarkStart w:id="211" w:name="_Toc4619"/>
      <w:bookmarkStart w:id="212" w:name="_Toc13498"/>
      <w:bookmarkStart w:id="213" w:name="_Toc10217"/>
      <w:bookmarkStart w:id="214" w:name="_Toc3370"/>
      <w:bookmarkStart w:id="215" w:name="_Toc21597"/>
      <w:r>
        <w:rPr>
          <w:szCs w:val="21"/>
        </w:rPr>
        <w:t>执行</w:t>
      </w:r>
      <w:r>
        <w:rPr>
          <w:rFonts w:hint="eastAsia"/>
          <w:szCs w:val="21"/>
        </w:rPr>
        <w:t>检验检测</w:t>
      </w:r>
      <w:bookmarkEnd w:id="207"/>
      <w:bookmarkEnd w:id="208"/>
      <w:bookmarkEnd w:id="209"/>
      <w:bookmarkEnd w:id="210"/>
      <w:bookmarkEnd w:id="211"/>
      <w:bookmarkEnd w:id="212"/>
      <w:bookmarkEnd w:id="213"/>
      <w:bookmarkEnd w:id="214"/>
      <w:bookmarkEnd w:id="215"/>
    </w:p>
    <w:p w14:paraId="47E66E3E">
      <w:pPr>
        <w:pStyle w:val="57"/>
        <w:ind w:firstLine="420"/>
      </w:pPr>
      <w:r>
        <w:rPr>
          <w:rFonts w:hint="eastAsia"/>
        </w:rPr>
        <w:t>依据检验检测框架和配置的资源，对数据集质量进行全面检验检测，输出评测报告，准确识别数据质量问题。</w:t>
      </w:r>
    </w:p>
    <w:p w14:paraId="6E201AE2">
      <w:pPr>
        <w:pStyle w:val="106"/>
        <w:spacing w:before="120" w:after="120"/>
      </w:pPr>
      <w:bookmarkStart w:id="216" w:name="_Toc29938"/>
      <w:bookmarkStart w:id="217" w:name="_Toc23737"/>
      <w:bookmarkStart w:id="218" w:name="_Toc28398"/>
      <w:bookmarkStart w:id="219" w:name="_Toc24897"/>
      <w:bookmarkStart w:id="220" w:name="_Toc21232"/>
      <w:bookmarkStart w:id="221" w:name="_Toc17604"/>
      <w:bookmarkStart w:id="222" w:name="_Toc25973"/>
      <w:bookmarkStart w:id="223" w:name="_Toc31379"/>
      <w:bookmarkStart w:id="224" w:name="_Toc13105"/>
      <w:r>
        <w:rPr>
          <w:rFonts w:hint="eastAsia"/>
        </w:rPr>
        <w:t>数据处理/数据修复</w:t>
      </w:r>
      <w:bookmarkEnd w:id="216"/>
      <w:bookmarkEnd w:id="217"/>
      <w:bookmarkEnd w:id="218"/>
      <w:bookmarkEnd w:id="219"/>
      <w:bookmarkEnd w:id="220"/>
      <w:bookmarkEnd w:id="221"/>
      <w:bookmarkEnd w:id="222"/>
      <w:bookmarkEnd w:id="223"/>
      <w:bookmarkEnd w:id="224"/>
    </w:p>
    <w:p w14:paraId="60B4528D">
      <w:pPr>
        <w:pStyle w:val="57"/>
        <w:ind w:firstLine="420"/>
      </w:pPr>
      <w:r>
        <w:rPr>
          <w:rFonts w:hint="eastAsia"/>
        </w:rPr>
        <w:t>针对检验检测中发现的数据质量问题，通过数据清洗、集成和规约等操作，进行质量根因分析，确定问题影响级别，运用技术工具修复数据质量并消除根源。</w:t>
      </w:r>
    </w:p>
    <w:p w14:paraId="00CFCE35">
      <w:pPr>
        <w:pStyle w:val="106"/>
        <w:spacing w:before="120" w:after="120"/>
      </w:pPr>
      <w:bookmarkStart w:id="225" w:name="_Toc16198"/>
      <w:bookmarkStart w:id="226" w:name="_Toc21715"/>
      <w:bookmarkStart w:id="227" w:name="_Toc27272"/>
      <w:bookmarkStart w:id="228" w:name="_Toc24420"/>
      <w:bookmarkStart w:id="229" w:name="_Toc6594"/>
      <w:bookmarkStart w:id="230" w:name="_Toc15476"/>
      <w:bookmarkStart w:id="231" w:name="_Toc13348"/>
      <w:bookmarkStart w:id="232" w:name="_Toc831"/>
      <w:bookmarkStart w:id="233" w:name="_Toc5045"/>
      <w:r>
        <w:rPr>
          <w:rFonts w:hint="eastAsia"/>
        </w:rPr>
        <w:t>数据质量监控</w:t>
      </w:r>
      <w:bookmarkEnd w:id="225"/>
      <w:bookmarkEnd w:id="226"/>
      <w:bookmarkEnd w:id="227"/>
      <w:bookmarkEnd w:id="228"/>
      <w:bookmarkEnd w:id="229"/>
      <w:bookmarkEnd w:id="230"/>
      <w:bookmarkEnd w:id="231"/>
      <w:bookmarkEnd w:id="232"/>
      <w:bookmarkEnd w:id="233"/>
    </w:p>
    <w:p w14:paraId="3F2678B5">
      <w:pPr>
        <w:pStyle w:val="57"/>
        <w:ind w:firstLine="420"/>
      </w:pPr>
      <w:r>
        <w:rPr>
          <w:rFonts w:hint="eastAsia"/>
        </w:rPr>
        <w:t>在整个生命周期内持续监控数据质量，根据人工智能应用效果反馈调整检验检测模型和质量门限，实现数据质量可视化，优化数据管理策略和处理流程。</w:t>
      </w:r>
    </w:p>
    <w:p w14:paraId="41F18D19">
      <w:pPr>
        <w:pStyle w:val="105"/>
        <w:spacing w:before="240" w:after="240"/>
      </w:pPr>
      <w:bookmarkStart w:id="234" w:name="_Toc8938"/>
      <w:bookmarkStart w:id="235" w:name="_Toc5516"/>
      <w:bookmarkStart w:id="236" w:name="_Toc26357"/>
      <w:bookmarkStart w:id="237" w:name="_Toc27181"/>
      <w:bookmarkStart w:id="238" w:name="_Toc360"/>
      <w:bookmarkStart w:id="239" w:name="_Toc31325"/>
      <w:bookmarkStart w:id="240" w:name="_Toc11328"/>
      <w:bookmarkStart w:id="241" w:name="_Toc8431"/>
      <w:bookmarkStart w:id="242" w:name="_Toc8211"/>
      <w:r>
        <w:rPr>
          <w:rFonts w:hint="eastAsia"/>
        </w:rPr>
        <w:t>检验检测报告</w:t>
      </w:r>
      <w:bookmarkEnd w:id="234"/>
      <w:bookmarkEnd w:id="235"/>
      <w:bookmarkEnd w:id="236"/>
      <w:bookmarkEnd w:id="237"/>
      <w:bookmarkEnd w:id="238"/>
      <w:bookmarkEnd w:id="239"/>
      <w:r>
        <w:rPr>
          <w:rFonts w:hint="eastAsia"/>
        </w:rPr>
        <w:t>要求</w:t>
      </w:r>
      <w:bookmarkEnd w:id="240"/>
      <w:bookmarkEnd w:id="241"/>
      <w:bookmarkEnd w:id="242"/>
    </w:p>
    <w:p w14:paraId="6ABED91D">
      <w:pPr>
        <w:pStyle w:val="106"/>
        <w:spacing w:before="120" w:after="120"/>
      </w:pPr>
      <w:bookmarkStart w:id="243" w:name="_Toc6820"/>
      <w:bookmarkStart w:id="244" w:name="_Toc23107"/>
      <w:bookmarkStart w:id="245" w:name="_Toc27677"/>
      <w:bookmarkStart w:id="246" w:name="_Toc4230"/>
      <w:bookmarkStart w:id="247" w:name="_Toc25487"/>
      <w:bookmarkStart w:id="248" w:name="_Toc8375"/>
      <w:bookmarkStart w:id="249" w:name="_Toc23860"/>
      <w:bookmarkStart w:id="250" w:name="_Toc1137"/>
      <w:bookmarkStart w:id="251" w:name="_Toc10948"/>
      <w:r>
        <w:rPr>
          <w:rFonts w:hint="eastAsia"/>
        </w:rPr>
        <w:t>报告内容</w:t>
      </w:r>
      <w:bookmarkEnd w:id="243"/>
      <w:bookmarkEnd w:id="244"/>
      <w:bookmarkEnd w:id="245"/>
      <w:bookmarkEnd w:id="246"/>
      <w:bookmarkEnd w:id="247"/>
      <w:bookmarkEnd w:id="248"/>
      <w:bookmarkEnd w:id="249"/>
      <w:bookmarkEnd w:id="250"/>
      <w:bookmarkEnd w:id="251"/>
    </w:p>
    <w:p w14:paraId="369C0FFE">
      <w:pPr>
        <w:pStyle w:val="57"/>
        <w:ind w:firstLine="420"/>
      </w:pPr>
      <w:r>
        <w:rPr>
          <w:rFonts w:hint="eastAsia"/>
        </w:rPr>
        <w:t>检验检测报告应全面、准确地反映数据集的质量检验检测情况，包括但不限于以下内容：</w:t>
      </w:r>
    </w:p>
    <w:p w14:paraId="1C1E50AD">
      <w:pPr>
        <w:pStyle w:val="66"/>
        <w:spacing w:before="120" w:after="120"/>
      </w:pPr>
      <w:bookmarkStart w:id="252" w:name="_Toc6421"/>
      <w:bookmarkStart w:id="253" w:name="_Toc22669"/>
      <w:r>
        <w:rPr>
          <w:rFonts w:hint="eastAsia"/>
        </w:rPr>
        <w:t>基本信息</w:t>
      </w:r>
      <w:bookmarkEnd w:id="252"/>
      <w:bookmarkEnd w:id="253"/>
    </w:p>
    <w:p w14:paraId="5209C8AD">
      <w:pPr>
        <w:pStyle w:val="57"/>
        <w:ind w:firstLine="420"/>
      </w:pPr>
      <w:r>
        <w:rPr>
          <w:rFonts w:hint="eastAsia"/>
        </w:rPr>
        <w:t>数据集的名称、版本、数据提供方、数据检测方、项目经理、检验检测目的、检验检测时间等。</w:t>
      </w:r>
    </w:p>
    <w:p w14:paraId="5C6467CB">
      <w:pPr>
        <w:pStyle w:val="66"/>
        <w:spacing w:before="120" w:after="120"/>
      </w:pPr>
      <w:bookmarkStart w:id="254" w:name="_Toc20296"/>
      <w:bookmarkStart w:id="255" w:name="_Toc20995"/>
      <w:r>
        <w:rPr>
          <w:rFonts w:hint="eastAsia"/>
        </w:rPr>
        <w:t>检验检测方法与过程</w:t>
      </w:r>
      <w:bookmarkEnd w:id="254"/>
      <w:bookmarkEnd w:id="255"/>
    </w:p>
    <w:p w14:paraId="12EEB383">
      <w:pPr>
        <w:pStyle w:val="57"/>
        <w:ind w:firstLine="420"/>
      </w:pPr>
      <w:r>
        <w:rPr>
          <w:rFonts w:hint="eastAsia"/>
        </w:rPr>
        <w:t>详细描述所采用的检验检测方法、检验检测指标、检验检测模型以及检验检测的具体流程，包括数据采集、处理、分析的方法和工具等。</w:t>
      </w:r>
    </w:p>
    <w:p w14:paraId="6A69571E">
      <w:pPr>
        <w:pStyle w:val="66"/>
        <w:spacing w:before="120" w:after="120"/>
      </w:pPr>
      <w:bookmarkStart w:id="256" w:name="_Toc10317"/>
      <w:bookmarkStart w:id="257" w:name="_Toc28466"/>
      <w:r>
        <w:rPr>
          <w:rFonts w:hint="eastAsia"/>
        </w:rPr>
        <w:t>检验检测结果</w:t>
      </w:r>
      <w:bookmarkEnd w:id="256"/>
      <w:bookmarkEnd w:id="257"/>
    </w:p>
    <w:p w14:paraId="66401262">
      <w:pPr>
        <w:pStyle w:val="57"/>
        <w:ind w:firstLine="420"/>
      </w:pPr>
      <w:r>
        <w:rPr>
          <w:rFonts w:hint="eastAsia"/>
        </w:rPr>
        <w:t>呈现各项检验检测指标的具体数值或评价等级，以图表、表格等形式直观展示数据集在完整性、规范性、准确性等维度的质量状况。</w:t>
      </w:r>
    </w:p>
    <w:p w14:paraId="430E1670">
      <w:pPr>
        <w:pStyle w:val="66"/>
        <w:spacing w:before="120" w:after="120"/>
      </w:pPr>
      <w:bookmarkStart w:id="258" w:name="_Toc14806"/>
      <w:bookmarkStart w:id="259" w:name="_Toc16478"/>
      <w:r>
        <w:rPr>
          <w:rFonts w:hint="eastAsia"/>
        </w:rPr>
        <w:t>问题与建议</w:t>
      </w:r>
      <w:bookmarkEnd w:id="258"/>
      <w:bookmarkEnd w:id="259"/>
    </w:p>
    <w:p w14:paraId="0E7FA28E">
      <w:pPr>
        <w:pStyle w:val="57"/>
        <w:ind w:firstLine="420"/>
      </w:pPr>
      <w:r>
        <w:rPr>
          <w:rFonts w:hint="eastAsia"/>
        </w:rPr>
        <w:t>指出数据集中存在的质量问题，分析问题产生的原因，并针对这些问题提出具体的改进建议，为数据提供方优化数据集提供参考。</w:t>
      </w:r>
    </w:p>
    <w:p w14:paraId="518BC939">
      <w:pPr>
        <w:pStyle w:val="66"/>
        <w:spacing w:before="120" w:after="120"/>
      </w:pPr>
      <w:bookmarkStart w:id="260" w:name="_Toc16672"/>
      <w:bookmarkStart w:id="261" w:name="_Toc16993"/>
      <w:r>
        <w:rPr>
          <w:rFonts w:hint="eastAsia"/>
        </w:rPr>
        <w:t>结论</w:t>
      </w:r>
      <w:bookmarkEnd w:id="260"/>
      <w:bookmarkEnd w:id="261"/>
    </w:p>
    <w:p w14:paraId="7AB36CEA">
      <w:pPr>
        <w:pStyle w:val="57"/>
        <w:ind w:firstLine="420"/>
      </w:pPr>
      <w:r>
        <w:rPr>
          <w:rFonts w:hint="eastAsia"/>
        </w:rPr>
        <w:t>对数据集的整体质量进行总结评价，明确数据集是否满足特定人工智能应用的需求，以及在哪些方面表现出色或存在不足。</w:t>
      </w:r>
    </w:p>
    <w:p w14:paraId="50664BB6">
      <w:pPr>
        <w:pStyle w:val="106"/>
        <w:spacing w:before="120" w:after="120"/>
      </w:pPr>
      <w:bookmarkStart w:id="262" w:name="_Toc5815"/>
      <w:bookmarkStart w:id="263" w:name="_Toc24476"/>
      <w:bookmarkStart w:id="264" w:name="_Toc181"/>
      <w:bookmarkStart w:id="265" w:name="_Toc19635"/>
      <w:bookmarkStart w:id="266" w:name="_Toc10885"/>
      <w:bookmarkStart w:id="267" w:name="_Toc1445"/>
      <w:bookmarkStart w:id="268" w:name="_Toc641"/>
      <w:bookmarkStart w:id="269" w:name="_Toc13134"/>
      <w:bookmarkStart w:id="270" w:name="_Toc8627"/>
      <w:r>
        <w:rPr>
          <w:szCs w:val="21"/>
        </w:rPr>
        <w:t>报告格式</w:t>
      </w:r>
      <w:bookmarkEnd w:id="262"/>
      <w:bookmarkEnd w:id="263"/>
      <w:bookmarkEnd w:id="264"/>
      <w:bookmarkEnd w:id="265"/>
      <w:bookmarkEnd w:id="266"/>
      <w:bookmarkEnd w:id="267"/>
      <w:bookmarkEnd w:id="268"/>
      <w:bookmarkEnd w:id="269"/>
      <w:bookmarkEnd w:id="270"/>
    </w:p>
    <w:p w14:paraId="7F7364F2">
      <w:pPr>
        <w:pStyle w:val="57"/>
        <w:ind w:firstLine="420"/>
      </w:pPr>
      <w:r>
        <w:rPr>
          <w:rFonts w:hint="eastAsia"/>
        </w:rPr>
        <w:t>检验检测报告需采用规范格式，结构清晰、逻辑严谨，方便阅读理解，通常包含封面、目录、前言、正文、附录等部分。封面注明报告名称、检验检测机构、日期等信息；目录列出章节标题与页码；前言简述检验检测背景、目的和意义；正文详述检验检测内容与结果；附录可放检验检测用到的重要数据、图表、问卷等资料供查阅追溯。</w:t>
      </w:r>
    </w:p>
    <w:p w14:paraId="08F4A455">
      <w:pPr>
        <w:pStyle w:val="105"/>
        <w:spacing w:before="240" w:after="240"/>
      </w:pPr>
      <w:bookmarkStart w:id="271" w:name="_Toc6469"/>
      <w:bookmarkStart w:id="272" w:name="_Toc23560"/>
      <w:bookmarkStart w:id="273" w:name="_Toc28981"/>
      <w:bookmarkStart w:id="274" w:name="_Toc10158"/>
      <w:bookmarkStart w:id="275" w:name="_Toc22484"/>
      <w:bookmarkStart w:id="276" w:name="_Toc7038"/>
      <w:bookmarkStart w:id="277" w:name="_Toc25432"/>
      <w:bookmarkStart w:id="278" w:name="_Toc13787"/>
      <w:bookmarkStart w:id="279" w:name="_Toc27103"/>
      <w:r>
        <w:rPr>
          <w:rFonts w:hint="eastAsia"/>
        </w:rPr>
        <w:t>检验检测频率与监督</w:t>
      </w:r>
      <w:bookmarkEnd w:id="271"/>
      <w:bookmarkEnd w:id="272"/>
      <w:bookmarkEnd w:id="273"/>
      <w:bookmarkEnd w:id="274"/>
      <w:bookmarkEnd w:id="275"/>
      <w:bookmarkEnd w:id="276"/>
      <w:r>
        <w:rPr>
          <w:rFonts w:hint="eastAsia"/>
        </w:rPr>
        <w:t>要求</w:t>
      </w:r>
      <w:bookmarkEnd w:id="277"/>
      <w:bookmarkEnd w:id="278"/>
      <w:bookmarkEnd w:id="279"/>
    </w:p>
    <w:p w14:paraId="2C5113A4">
      <w:pPr>
        <w:pStyle w:val="106"/>
        <w:spacing w:before="120" w:after="120"/>
      </w:pPr>
      <w:bookmarkStart w:id="280" w:name="_Toc22114"/>
      <w:bookmarkStart w:id="281" w:name="_Toc30844"/>
      <w:bookmarkStart w:id="282" w:name="_Toc8313"/>
      <w:bookmarkStart w:id="283" w:name="_Toc12543"/>
      <w:bookmarkStart w:id="284" w:name="_Toc28136"/>
      <w:bookmarkStart w:id="285" w:name="_Toc22007"/>
      <w:bookmarkStart w:id="286" w:name="_Toc19548"/>
      <w:bookmarkStart w:id="287" w:name="_Toc32666"/>
      <w:bookmarkStart w:id="288" w:name="_Toc10644"/>
      <w:r>
        <w:rPr>
          <w:rFonts w:hint="eastAsia"/>
        </w:rPr>
        <w:t>检验频率</w:t>
      </w:r>
      <w:bookmarkEnd w:id="280"/>
      <w:bookmarkEnd w:id="281"/>
      <w:bookmarkEnd w:id="282"/>
      <w:bookmarkEnd w:id="283"/>
      <w:bookmarkEnd w:id="284"/>
      <w:bookmarkEnd w:id="285"/>
      <w:bookmarkEnd w:id="286"/>
      <w:bookmarkEnd w:id="287"/>
      <w:bookmarkEnd w:id="288"/>
    </w:p>
    <w:p w14:paraId="3D6B4E59">
      <w:pPr>
        <w:pStyle w:val="57"/>
        <w:ind w:firstLine="420"/>
      </w:pPr>
      <w:r>
        <w:rPr>
          <w:rFonts w:hint="eastAsia"/>
        </w:rPr>
        <w:t>依据数据集的使用频率、更新速度和应用场景重要性，确定人工智能阶段性检测频率：高频使用、快速更新或关键场景的数据需增加检测；相对稳定的可降低频率，但至少每年全面检测一次。</w:t>
      </w:r>
    </w:p>
    <w:p w14:paraId="58A98904">
      <w:pPr>
        <w:pStyle w:val="106"/>
        <w:spacing w:before="120" w:after="120"/>
      </w:pPr>
      <w:bookmarkStart w:id="289" w:name="_Toc21280"/>
      <w:bookmarkStart w:id="290" w:name="_Toc27331"/>
      <w:bookmarkStart w:id="291" w:name="_Toc561"/>
      <w:bookmarkStart w:id="292" w:name="_Toc7031"/>
      <w:bookmarkStart w:id="293" w:name="_Toc11885"/>
      <w:bookmarkStart w:id="294" w:name="_Toc21615"/>
      <w:bookmarkStart w:id="295" w:name="_Toc17107"/>
      <w:bookmarkStart w:id="296" w:name="_Toc7646"/>
      <w:bookmarkStart w:id="297" w:name="_Toc23686"/>
      <w:r>
        <w:rPr>
          <w:rFonts w:hint="eastAsia"/>
        </w:rPr>
        <w:t>监督</w:t>
      </w:r>
      <w:bookmarkEnd w:id="289"/>
      <w:bookmarkEnd w:id="290"/>
      <w:bookmarkEnd w:id="291"/>
      <w:bookmarkEnd w:id="292"/>
      <w:bookmarkEnd w:id="293"/>
      <w:bookmarkEnd w:id="294"/>
      <w:bookmarkEnd w:id="295"/>
      <w:bookmarkEnd w:id="296"/>
      <w:r>
        <w:rPr>
          <w:rFonts w:hint="eastAsia"/>
        </w:rPr>
        <w:t>要求</w:t>
      </w:r>
      <w:bookmarkEnd w:id="297"/>
    </w:p>
    <w:p w14:paraId="7AFA52BD">
      <w:pPr>
        <w:pStyle w:val="57"/>
        <w:ind w:firstLine="420"/>
      </w:pPr>
      <w:r>
        <w:rPr>
          <w:rFonts w:hint="eastAsia"/>
        </w:rPr>
        <w:t>建立检测监督机制，确保流程合规。监督主体包括数据提供方、需求方或监管机构，负责审查人员资质、方法规范及数据真实性。发现违规时有权要求整改，保障结果可靠。</w:t>
      </w:r>
    </w:p>
    <w:bookmarkEnd w:id="32"/>
    <w:p w14:paraId="25E7223E">
      <w:pPr>
        <w:pStyle w:val="199"/>
        <w:rPr>
          <w:rFonts w:hint="eastAsia"/>
        </w:rPr>
      </w:pPr>
      <w:bookmarkStart w:id="298" w:name="BookMark5"/>
    </w:p>
    <w:bookmarkEnd w:id="298"/>
    <w:p w14:paraId="2F196497">
      <w:pPr>
        <w:pStyle w:val="200"/>
      </w:pPr>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307F2">
    <w:pPr>
      <w:pStyle w:val="17"/>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2D429">
    <w:pPr>
      <w:pStyle w:val="17"/>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456B1">
    <w:pPr>
      <w:pStyle w:val="53"/>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E20A5">
    <w:pPr>
      <w:pStyle w:val="18"/>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236B8D">
    <w:pPr>
      <w:pStyle w:val="18"/>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39B01">
    <w:pPr>
      <w:pStyle w:val="62"/>
      <w:rPr>
        <w:rFonts w:hint="eastAsia"/>
      </w:rPr>
    </w:pPr>
    <w:r>
      <w:fldChar w:fldCharType="begin"/>
    </w:r>
    <w:r>
      <w:instrText xml:space="preserve"> STYLEREF  标准文件_文件编号  \* MERGEFORMAT </w:instrText>
    </w:r>
    <w:r>
      <w:fldChar w:fldCharType="separate"/>
    </w:r>
    <w:r>
      <w:t>T/CIQA 249—2025</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attachedTemplate r:id="rId1"/>
  <w:documentProtection w:edit="forms" w:enforcement="1" w:cryptProviderType="rsaFull" w:cryptAlgorithmClass="hash" w:cryptAlgorithmType="typeAny" w:cryptAlgorithmSid="4" w:cryptSpinCount="0" w:hash="kTqnK2W5rLoLeSZIh6fLtXkQ5wE=" w:salt="WYmUe5dY2wDP3myWcFmOnw=="/>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051F9"/>
    <w:rsid w:val="0000040A"/>
    <w:rsid w:val="00000A94"/>
    <w:rsid w:val="00001972"/>
    <w:rsid w:val="00001D9A"/>
    <w:rsid w:val="00002D44"/>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45D1"/>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5BFD"/>
    <w:rsid w:val="00281BB8"/>
    <w:rsid w:val="00281E9E"/>
    <w:rsid w:val="00282083"/>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2261"/>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147F"/>
    <w:rsid w:val="00392AD7"/>
    <w:rsid w:val="003938D9"/>
    <w:rsid w:val="00394376"/>
    <w:rsid w:val="003943FF"/>
    <w:rsid w:val="00395A70"/>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C775A"/>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52AF"/>
    <w:rsid w:val="004167A3"/>
    <w:rsid w:val="0042014A"/>
    <w:rsid w:val="00432DAA"/>
    <w:rsid w:val="00434305"/>
    <w:rsid w:val="00435DF7"/>
    <w:rsid w:val="0043741A"/>
    <w:rsid w:val="0044083F"/>
    <w:rsid w:val="00441AE7"/>
    <w:rsid w:val="00445574"/>
    <w:rsid w:val="004467FB"/>
    <w:rsid w:val="00452D6B"/>
    <w:rsid w:val="00454484"/>
    <w:rsid w:val="0045517B"/>
    <w:rsid w:val="00463B77"/>
    <w:rsid w:val="00463C7B"/>
    <w:rsid w:val="004644A6"/>
    <w:rsid w:val="004659BD"/>
    <w:rsid w:val="00465AE6"/>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4A5D"/>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ECF"/>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E10"/>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157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0AC8"/>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10B"/>
    <w:rsid w:val="00672BFD"/>
    <w:rsid w:val="006770F4"/>
    <w:rsid w:val="00677A84"/>
    <w:rsid w:val="0068026D"/>
    <w:rsid w:val="00680A27"/>
    <w:rsid w:val="006816A4"/>
    <w:rsid w:val="006819B8"/>
    <w:rsid w:val="006840A6"/>
    <w:rsid w:val="006850CD"/>
    <w:rsid w:val="00685AAB"/>
    <w:rsid w:val="00693962"/>
    <w:rsid w:val="006A07AA"/>
    <w:rsid w:val="006A1F25"/>
    <w:rsid w:val="006A25E5"/>
    <w:rsid w:val="006A2B46"/>
    <w:rsid w:val="006A336D"/>
    <w:rsid w:val="006A37B9"/>
    <w:rsid w:val="006A3D27"/>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12A"/>
    <w:rsid w:val="006D6593"/>
    <w:rsid w:val="006E28E0"/>
    <w:rsid w:val="006F03A8"/>
    <w:rsid w:val="006F2ACA"/>
    <w:rsid w:val="006F2ADC"/>
    <w:rsid w:val="006F2BFE"/>
    <w:rsid w:val="006F31E9"/>
    <w:rsid w:val="006F6284"/>
    <w:rsid w:val="007002C5"/>
    <w:rsid w:val="00704387"/>
    <w:rsid w:val="00707669"/>
    <w:rsid w:val="00711CBA"/>
    <w:rsid w:val="00711FB5"/>
    <w:rsid w:val="00712A01"/>
    <w:rsid w:val="00714F58"/>
    <w:rsid w:val="00720619"/>
    <w:rsid w:val="007213A7"/>
    <w:rsid w:val="00722FBF"/>
    <w:rsid w:val="00722FC2"/>
    <w:rsid w:val="007249B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5609D"/>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1F0B"/>
    <w:rsid w:val="009A21CD"/>
    <w:rsid w:val="009A278C"/>
    <w:rsid w:val="009A2BC2"/>
    <w:rsid w:val="009A42C1"/>
    <w:rsid w:val="009A5429"/>
    <w:rsid w:val="009A72AD"/>
    <w:rsid w:val="009B09E0"/>
    <w:rsid w:val="009B0BC5"/>
    <w:rsid w:val="009B1247"/>
    <w:rsid w:val="009B6029"/>
    <w:rsid w:val="009B6971"/>
    <w:rsid w:val="009B6E43"/>
    <w:rsid w:val="009C27F1"/>
    <w:rsid w:val="009C3152"/>
    <w:rsid w:val="009C3257"/>
    <w:rsid w:val="009C4CFA"/>
    <w:rsid w:val="009C5070"/>
    <w:rsid w:val="009D112C"/>
    <w:rsid w:val="009D1385"/>
    <w:rsid w:val="009D47FA"/>
    <w:rsid w:val="009D4C5B"/>
    <w:rsid w:val="009D50D2"/>
    <w:rsid w:val="009D6BCA"/>
    <w:rsid w:val="009E0F62"/>
    <w:rsid w:val="009E1C45"/>
    <w:rsid w:val="009E4A58"/>
    <w:rsid w:val="009E5A2D"/>
    <w:rsid w:val="009E5AB2"/>
    <w:rsid w:val="009E6219"/>
    <w:rsid w:val="009F03B3"/>
    <w:rsid w:val="009F173C"/>
    <w:rsid w:val="00A0096C"/>
    <w:rsid w:val="00A01757"/>
    <w:rsid w:val="00A028C0"/>
    <w:rsid w:val="00A02BAE"/>
    <w:rsid w:val="00A06A6B"/>
    <w:rsid w:val="00A07E47"/>
    <w:rsid w:val="00A11C5E"/>
    <w:rsid w:val="00A129D0"/>
    <w:rsid w:val="00A12C33"/>
    <w:rsid w:val="00A138BA"/>
    <w:rsid w:val="00A14C8E"/>
    <w:rsid w:val="00A153D9"/>
    <w:rsid w:val="00A15F09"/>
    <w:rsid w:val="00A169B6"/>
    <w:rsid w:val="00A224B8"/>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188E"/>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436B"/>
    <w:rsid w:val="00B261F1"/>
    <w:rsid w:val="00B265BC"/>
    <w:rsid w:val="00B311E4"/>
    <w:rsid w:val="00B31FB1"/>
    <w:rsid w:val="00B33952"/>
    <w:rsid w:val="00B33C5E"/>
    <w:rsid w:val="00B342F4"/>
    <w:rsid w:val="00B34369"/>
    <w:rsid w:val="00B34DC2"/>
    <w:rsid w:val="00B3513B"/>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6980"/>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7B9"/>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A7C9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286E"/>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5624"/>
    <w:rsid w:val="00E56800"/>
    <w:rsid w:val="00E60C63"/>
    <w:rsid w:val="00E62FF9"/>
    <w:rsid w:val="00E6320C"/>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4C9"/>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D75C2"/>
    <w:rsid w:val="00EE0350"/>
    <w:rsid w:val="00EE0719"/>
    <w:rsid w:val="00EE0E80"/>
    <w:rsid w:val="00EE613F"/>
    <w:rsid w:val="00EE7295"/>
    <w:rsid w:val="00EE7869"/>
    <w:rsid w:val="00EF054A"/>
    <w:rsid w:val="00EF3235"/>
    <w:rsid w:val="00EF7076"/>
    <w:rsid w:val="00EF7E72"/>
    <w:rsid w:val="00F06D37"/>
    <w:rsid w:val="00F07B9D"/>
    <w:rsid w:val="00F11586"/>
    <w:rsid w:val="00F1183B"/>
    <w:rsid w:val="00F11C9F"/>
    <w:rsid w:val="00F120AC"/>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0A72"/>
    <w:rsid w:val="00FC17B7"/>
    <w:rsid w:val="00FC2CB7"/>
    <w:rsid w:val="00FC4090"/>
    <w:rsid w:val="00FC55B4"/>
    <w:rsid w:val="00FD00E6"/>
    <w:rsid w:val="00FD09A1"/>
    <w:rsid w:val="00FD2A7C"/>
    <w:rsid w:val="00FD59EB"/>
    <w:rsid w:val="00FD6FCD"/>
    <w:rsid w:val="00FD7299"/>
    <w:rsid w:val="00FE1FBE"/>
    <w:rsid w:val="00FE3901"/>
    <w:rsid w:val="00FE39D3"/>
    <w:rsid w:val="00FE4BCE"/>
    <w:rsid w:val="00FE54AE"/>
    <w:rsid w:val="00FE576A"/>
    <w:rsid w:val="00FE7E79"/>
    <w:rsid w:val="00FF3E7D"/>
    <w:rsid w:val="00FF5B99"/>
    <w:rsid w:val="00FF6D45"/>
    <w:rsid w:val="00FF730C"/>
    <w:rsid w:val="00FF73F4"/>
    <w:rsid w:val="00FF7CE4"/>
    <w:rsid w:val="00FF7E39"/>
    <w:rsid w:val="022E2846"/>
    <w:rsid w:val="04011821"/>
    <w:rsid w:val="065B2333"/>
    <w:rsid w:val="07725FFC"/>
    <w:rsid w:val="0B584A4D"/>
    <w:rsid w:val="0BCF09E4"/>
    <w:rsid w:val="0C6870F4"/>
    <w:rsid w:val="0D3E3B34"/>
    <w:rsid w:val="0E4C44E8"/>
    <w:rsid w:val="0EC15FDA"/>
    <w:rsid w:val="0FB96A8F"/>
    <w:rsid w:val="12C76069"/>
    <w:rsid w:val="141605EF"/>
    <w:rsid w:val="14EA3B86"/>
    <w:rsid w:val="15291FFB"/>
    <w:rsid w:val="158277D7"/>
    <w:rsid w:val="19185C9D"/>
    <w:rsid w:val="1B685A6D"/>
    <w:rsid w:val="1D0A4E31"/>
    <w:rsid w:val="1D7962C2"/>
    <w:rsid w:val="21A55A0F"/>
    <w:rsid w:val="25CF2E33"/>
    <w:rsid w:val="28760D0C"/>
    <w:rsid w:val="289D713A"/>
    <w:rsid w:val="319D0A0E"/>
    <w:rsid w:val="32D37444"/>
    <w:rsid w:val="32E14BF3"/>
    <w:rsid w:val="355377A3"/>
    <w:rsid w:val="35854821"/>
    <w:rsid w:val="37267D80"/>
    <w:rsid w:val="38910D12"/>
    <w:rsid w:val="39B527FE"/>
    <w:rsid w:val="3BBB19E6"/>
    <w:rsid w:val="3C850B8E"/>
    <w:rsid w:val="3DF051F9"/>
    <w:rsid w:val="3E7C2886"/>
    <w:rsid w:val="3F27452A"/>
    <w:rsid w:val="40DA6147"/>
    <w:rsid w:val="40E144A9"/>
    <w:rsid w:val="42A147AA"/>
    <w:rsid w:val="43F636D4"/>
    <w:rsid w:val="44753EA6"/>
    <w:rsid w:val="45146BAA"/>
    <w:rsid w:val="47EA225E"/>
    <w:rsid w:val="4839622B"/>
    <w:rsid w:val="48DF187A"/>
    <w:rsid w:val="4C4969C8"/>
    <w:rsid w:val="4C9E28B8"/>
    <w:rsid w:val="4DA235FD"/>
    <w:rsid w:val="4E823CA3"/>
    <w:rsid w:val="4F0A3DD9"/>
    <w:rsid w:val="51110678"/>
    <w:rsid w:val="5268606E"/>
    <w:rsid w:val="52C35D08"/>
    <w:rsid w:val="53576F48"/>
    <w:rsid w:val="53D22BB7"/>
    <w:rsid w:val="543921F0"/>
    <w:rsid w:val="56BB55D5"/>
    <w:rsid w:val="577B76CC"/>
    <w:rsid w:val="58BB5072"/>
    <w:rsid w:val="58C71852"/>
    <w:rsid w:val="59762AD2"/>
    <w:rsid w:val="59DA36DD"/>
    <w:rsid w:val="5AFF16B3"/>
    <w:rsid w:val="603B05A9"/>
    <w:rsid w:val="607B2074"/>
    <w:rsid w:val="63A92B04"/>
    <w:rsid w:val="657D2C91"/>
    <w:rsid w:val="69DF23D4"/>
    <w:rsid w:val="6AF716D0"/>
    <w:rsid w:val="6C474C68"/>
    <w:rsid w:val="6C7D4B2E"/>
    <w:rsid w:val="6C8C285E"/>
    <w:rsid w:val="6E5A6C22"/>
    <w:rsid w:val="6F571666"/>
    <w:rsid w:val="72300BA8"/>
    <w:rsid w:val="7261325E"/>
    <w:rsid w:val="74F318E5"/>
    <w:rsid w:val="75787EFD"/>
    <w:rsid w:val="764351BA"/>
    <w:rsid w:val="76E214CF"/>
    <w:rsid w:val="7A6051A6"/>
    <w:rsid w:val="7C064A66"/>
    <w:rsid w:val="7D2F2A3D"/>
    <w:rsid w:val="7DCC0549"/>
    <w:rsid w:val="7E512998"/>
    <w:rsid w:val="7F6063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7"/>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6"/>
    <w:semiHidden/>
    <w:unhideWhenUsed/>
    <w:qFormat/>
    <w:uiPriority w:val="99"/>
    <w:rPr>
      <w:sz w:val="18"/>
      <w:szCs w:val="18"/>
    </w:rPr>
  </w:style>
  <w:style w:type="paragraph" w:styleId="17">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4"/>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Normal (Web)"/>
    <w:basedOn w:val="1"/>
    <w:semiHidden/>
    <w:unhideWhenUsed/>
    <w:qFormat/>
    <w:uiPriority w:val="99"/>
    <w:pPr>
      <w:spacing w:beforeAutospacing="1" w:afterAutospacing="1"/>
      <w:jc w:val="left"/>
    </w:pPr>
    <w:rPr>
      <w:kern w:val="0"/>
      <w:sz w:val="24"/>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2"/>
    <w:qFormat/>
    <w:uiPriority w:val="0"/>
    <w:rPr>
      <w:b/>
      <w:bCs/>
      <w:kern w:val="44"/>
      <w:sz w:val="44"/>
      <w:szCs w:val="44"/>
    </w:rPr>
  </w:style>
  <w:style w:type="character" w:customStyle="1" w:styleId="36">
    <w:name w:val="标题 2 字符"/>
    <w:link w:val="3"/>
    <w:qFormat/>
    <w:uiPriority w:val="0"/>
    <w:rPr>
      <w:rFonts w:ascii="Arial" w:hAnsi="Arial" w:eastAsia="黑体"/>
      <w:b/>
      <w:bCs/>
      <w:kern w:val="2"/>
      <w:sz w:val="32"/>
      <w:szCs w:val="32"/>
    </w:rPr>
  </w:style>
  <w:style w:type="character" w:customStyle="1" w:styleId="37">
    <w:name w:val="标题 3 字符"/>
    <w:link w:val="4"/>
    <w:qFormat/>
    <w:uiPriority w:val="0"/>
    <w:rPr>
      <w:b/>
      <w:bCs/>
      <w:kern w:val="2"/>
      <w:sz w:val="32"/>
      <w:szCs w:val="32"/>
    </w:rPr>
  </w:style>
  <w:style w:type="character" w:customStyle="1" w:styleId="38">
    <w:name w:val="标题 4 字符"/>
    <w:link w:val="5"/>
    <w:qFormat/>
    <w:uiPriority w:val="0"/>
    <w:rPr>
      <w:rFonts w:ascii="Arial" w:hAnsi="Arial" w:eastAsia="黑体"/>
      <w:b/>
      <w:bCs/>
      <w:kern w:val="2"/>
      <w:sz w:val="28"/>
      <w:szCs w:val="28"/>
    </w:rPr>
  </w:style>
  <w:style w:type="character" w:customStyle="1" w:styleId="39">
    <w:name w:val="标题 5 字符"/>
    <w:link w:val="6"/>
    <w:qFormat/>
    <w:uiPriority w:val="0"/>
    <w:rPr>
      <w:b/>
      <w:bCs/>
      <w:kern w:val="2"/>
      <w:sz w:val="28"/>
      <w:szCs w:val="28"/>
    </w:rPr>
  </w:style>
  <w:style w:type="character" w:customStyle="1" w:styleId="40">
    <w:name w:val="标题 6 字符"/>
    <w:link w:val="7"/>
    <w:qFormat/>
    <w:uiPriority w:val="0"/>
    <w:rPr>
      <w:rFonts w:ascii="Arial" w:hAnsi="Arial" w:eastAsia="黑体"/>
      <w:b/>
      <w:bCs/>
      <w:kern w:val="2"/>
      <w:sz w:val="24"/>
      <w:szCs w:val="24"/>
    </w:rPr>
  </w:style>
  <w:style w:type="character" w:customStyle="1" w:styleId="41">
    <w:name w:val="标题 7 字符"/>
    <w:link w:val="8"/>
    <w:qFormat/>
    <w:uiPriority w:val="0"/>
    <w:rPr>
      <w:b/>
      <w:bCs/>
      <w:kern w:val="2"/>
      <w:sz w:val="24"/>
      <w:szCs w:val="24"/>
    </w:rPr>
  </w:style>
  <w:style w:type="character" w:customStyle="1" w:styleId="42">
    <w:name w:val="标题 8 字符"/>
    <w:link w:val="9"/>
    <w:qFormat/>
    <w:uiPriority w:val="0"/>
    <w:rPr>
      <w:rFonts w:ascii="Arial" w:hAnsi="Arial" w:eastAsia="黑体"/>
      <w:kern w:val="2"/>
      <w:sz w:val="24"/>
      <w:szCs w:val="24"/>
    </w:rPr>
  </w:style>
  <w:style w:type="character" w:customStyle="1" w:styleId="43">
    <w:name w:val="标题 9 字符"/>
    <w:link w:val="10"/>
    <w:qFormat/>
    <w:uiPriority w:val="0"/>
    <w:rPr>
      <w:rFonts w:ascii="Arial" w:hAnsi="Arial" w:eastAsia="黑体"/>
      <w:kern w:val="2"/>
      <w:sz w:val="21"/>
      <w:szCs w:val="21"/>
    </w:rPr>
  </w:style>
  <w:style w:type="character" w:customStyle="1" w:styleId="44">
    <w:name w:val="页眉 字符"/>
    <w:link w:val="18"/>
    <w:qFormat/>
    <w:uiPriority w:val="99"/>
    <w:rPr>
      <w:kern w:val="2"/>
      <w:sz w:val="18"/>
      <w:szCs w:val="18"/>
    </w:rPr>
  </w:style>
  <w:style w:type="character" w:customStyle="1" w:styleId="45">
    <w:name w:val="页脚 字符"/>
    <w:link w:val="17"/>
    <w:qFormat/>
    <w:uiPriority w:val="99"/>
    <w:rPr>
      <w:rFonts w:ascii="宋体"/>
      <w:kern w:val="2"/>
      <w:sz w:val="18"/>
      <w:szCs w:val="18"/>
    </w:rPr>
  </w:style>
  <w:style w:type="character" w:customStyle="1" w:styleId="46">
    <w:name w:val="批注框文本 字符"/>
    <w:link w:val="16"/>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kern w:val="2"/>
      <w:sz w:val="21"/>
      <w:szCs w:val="21"/>
    </w:rPr>
  </w:style>
  <w:style w:type="character" w:customStyle="1" w:styleId="49">
    <w:name w:val="标题 字符"/>
    <w:link w:val="26"/>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Times New Roman"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3"/>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不明显参考1"/>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1"/>
    <w:semiHidden/>
    <w:qFormat/>
    <w:uiPriority w:val="0"/>
    <w:rPr>
      <w:rFonts w:ascii="宋体"/>
      <w:kern w:val="2"/>
      <w:sz w:val="18"/>
      <w:szCs w:val="18"/>
    </w:rPr>
  </w:style>
  <w:style w:type="paragraph" w:customStyle="1" w:styleId="101">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autoRedefine/>
    <w:semiHidden/>
    <w:qFormat/>
    <w:uiPriority w:val="0"/>
    <w:pPr>
      <w:adjustRightInd/>
      <w:spacing w:line="240" w:lineRule="auto"/>
      <w:jc w:val="left"/>
    </w:pPr>
    <w:rPr>
      <w:bCs/>
      <w:iCs/>
    </w:rPr>
  </w:style>
  <w:style w:type="paragraph" w:customStyle="1" w:styleId="144">
    <w:name w:val="目录 31"/>
    <w:basedOn w:val="1"/>
    <w:next w:val="1"/>
    <w:autoRedefine/>
    <w:semiHidden/>
    <w:qFormat/>
    <w:uiPriority w:val="0"/>
    <w:pPr>
      <w:spacing w:line="240" w:lineRule="auto"/>
    </w:pPr>
    <w:rPr>
      <w:rFonts w:ascii="宋体" w:hAnsi="宋体"/>
      <w:iCs/>
    </w:rPr>
  </w:style>
  <w:style w:type="paragraph" w:customStyle="1" w:styleId="145">
    <w:name w:val="目录 41"/>
    <w:basedOn w:val="1"/>
    <w:next w:val="1"/>
    <w:autoRedefine/>
    <w:semiHidden/>
    <w:qFormat/>
    <w:uiPriority w:val="0"/>
    <w:pPr>
      <w:adjustRightInd/>
      <w:spacing w:line="240" w:lineRule="auto"/>
      <w:jc w:val="left"/>
    </w:pPr>
  </w:style>
  <w:style w:type="paragraph" w:customStyle="1" w:styleId="146">
    <w:name w:val="目录 51"/>
    <w:basedOn w:val="1"/>
    <w:next w:val="1"/>
    <w:autoRedefine/>
    <w:semiHidden/>
    <w:qFormat/>
    <w:uiPriority w:val="0"/>
    <w:pPr>
      <w:spacing w:line="240" w:lineRule="auto"/>
    </w:pPr>
    <w:rPr>
      <w:rFonts w:ascii="宋体" w:hAnsi="宋体"/>
    </w:rPr>
  </w:style>
  <w:style w:type="paragraph" w:customStyle="1" w:styleId="147">
    <w:name w:val="目录 61"/>
    <w:basedOn w:val="1"/>
    <w:next w:val="1"/>
    <w:autoRedefine/>
    <w:semiHidden/>
    <w:qFormat/>
    <w:uiPriority w:val="0"/>
    <w:pPr>
      <w:adjustRightInd/>
      <w:spacing w:line="240" w:lineRule="auto"/>
      <w:jc w:val="left"/>
    </w:pPr>
  </w:style>
  <w:style w:type="paragraph" w:customStyle="1" w:styleId="148">
    <w:name w:val="目录 71"/>
    <w:basedOn w:val="147"/>
    <w:autoRedefine/>
    <w:semiHidden/>
    <w:qFormat/>
    <w:uiPriority w:val="0"/>
    <w:pPr>
      <w:ind w:left="1260"/>
    </w:pPr>
  </w:style>
  <w:style w:type="paragraph" w:customStyle="1" w:styleId="149">
    <w:name w:val="目录 81"/>
    <w:basedOn w:val="148"/>
    <w:autoRedefine/>
    <w:semiHidden/>
    <w:qFormat/>
    <w:uiPriority w:val="0"/>
    <w:pPr>
      <w:ind w:left="1470"/>
    </w:pPr>
  </w:style>
  <w:style w:type="paragraph" w:customStyle="1" w:styleId="150">
    <w:name w:val="目录 91"/>
    <w:basedOn w:val="149"/>
    <w:autoRedefine/>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framePr w:wrap="around"/>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Times New Roman"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style>
  <w:style w:type="paragraph" w:customStyle="1" w:styleId="190">
    <w:name w:val="标准文件_一级项2"/>
    <w:basedOn w:val="57"/>
    <w:qFormat/>
    <w:uiPriority w:val="0"/>
    <w:pPr>
      <w:numPr>
        <w:ilvl w:val="0"/>
        <w:numId w:val="31"/>
      </w:numPr>
      <w:spacing w:line="300" w:lineRule="exact"/>
      <w:ind w:firstLineChars="0"/>
    </w:p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wrap="around" w:vAnchor="page" w:hAnchor="page" w:x="1419" w:y="14097"/>
    </w:pPr>
  </w:style>
  <w:style w:type="paragraph" w:customStyle="1" w:styleId="195">
    <w:name w:val="其他实施日期"/>
    <w:basedOn w:val="155"/>
    <w:qFormat/>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4.png"/><Relationship Id="rId14" Type="http://schemas.openxmlformats.org/officeDocument/2006/relationships/image" Target="media/image3.jpe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software\StandardEditor\template\&#22242;&#20307;&#26631;&#20934;.dotx" TargetMode="Externa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B3BEDB4F2724F9D81F4444A5CCE266D"/>
        <w:style w:val=""/>
        <w:category>
          <w:name w:val="常规"/>
          <w:gallery w:val="placeholder"/>
        </w:category>
        <w:types>
          <w:type w:val="bbPlcHdr"/>
        </w:types>
        <w:behaviors>
          <w:behavior w:val="content"/>
        </w:behaviors>
        <w:description w:val=""/>
        <w:guid w:val="{9A791DFB-56F6-4B85-997E-8EF3CEE1C2DA}"/>
      </w:docPartPr>
      <w:docPartBody>
        <w:p w14:paraId="32140985">
          <w:pPr>
            <w:pStyle w:val="5"/>
            <w:rPr>
              <w:rFonts w:hint="eastAsia"/>
            </w:rPr>
          </w:pPr>
          <w:r>
            <w:rPr>
              <w:rStyle w:val="4"/>
              <w:rFonts w:hint="eastAsia"/>
            </w:rPr>
            <w:t>单击或点击此处输入文字。</w:t>
          </w:r>
        </w:p>
      </w:docPartBody>
    </w:docPart>
    <w:docPart>
      <w:docPartPr>
        <w:name w:val="78956B8278AF41489B4C226600D2E8C4"/>
        <w:style w:val=""/>
        <w:category>
          <w:name w:val="常规"/>
          <w:gallery w:val="placeholder"/>
        </w:category>
        <w:types>
          <w:type w:val="bbPlcHdr"/>
        </w:types>
        <w:behaviors>
          <w:behavior w:val="content"/>
        </w:behaviors>
        <w:description w:val=""/>
        <w:guid w:val="{35D7B9DB-82B3-43EC-9478-2F4253E62990}"/>
      </w:docPartPr>
      <w:docPartBody>
        <w:p w14:paraId="194D66A5">
          <w:pPr>
            <w:pStyle w:val="6"/>
            <w:rPr>
              <w:rFonts w:hint="eastAsia"/>
            </w:rPr>
          </w:pPr>
          <w:r>
            <w:rPr>
              <w:rStyle w:val="4"/>
              <w:rFonts w:hint="eastAsia"/>
            </w:rPr>
            <w:t>选择一项。</w:t>
          </w:r>
        </w:p>
      </w:docPartBody>
    </w:docPart>
    <w:docPart>
      <w:docPartPr>
        <w:name w:val="DD487E154D8B46B1811108614A11313A"/>
        <w:style w:val=""/>
        <w:category>
          <w:name w:val="常规"/>
          <w:gallery w:val="placeholder"/>
        </w:category>
        <w:types>
          <w:type w:val="bbPlcHdr"/>
        </w:types>
        <w:behaviors>
          <w:behavior w:val="content"/>
        </w:behaviors>
        <w:description w:val=""/>
        <w:guid w:val="{BDA84726-025B-4CC9-AFA0-B8C5A34685AA}"/>
      </w:docPartPr>
      <w:docPartBody>
        <w:p w14:paraId="02EB10A9">
          <w:pPr>
            <w:pStyle w:val="7"/>
            <w:rPr>
              <w:rFonts w:hint="eastAsia"/>
            </w:rPr>
          </w:pPr>
          <w:r>
            <w:rPr>
              <w:rStyle w:val="4"/>
              <w:rFonts w:hint="eastAsia"/>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0EA"/>
    <w:rsid w:val="000179FC"/>
    <w:rsid w:val="000A45D1"/>
    <w:rsid w:val="00120784"/>
    <w:rsid w:val="002C2FC2"/>
    <w:rsid w:val="003307B9"/>
    <w:rsid w:val="0042014A"/>
    <w:rsid w:val="0044269F"/>
    <w:rsid w:val="005D70EA"/>
    <w:rsid w:val="006E28E0"/>
    <w:rsid w:val="008E06DF"/>
    <w:rsid w:val="009B6E43"/>
    <w:rsid w:val="00A75D2F"/>
    <w:rsid w:val="00E964C9"/>
    <w:rsid w:val="00FF6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9B3BEDB4F2724F9D81F4444A5CCE266D"/>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78956B8278AF41489B4C226600D2E8C4"/>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DD487E154D8B46B1811108614A11313A"/>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E0F809-F1B0-47A2-BF3F-77BC97C7211C}">
  <ds:schemaRefs/>
</ds:datastoreItem>
</file>

<file path=docProps/app.xml><?xml version="1.0" encoding="utf-8"?>
<Properties xmlns="http://schemas.openxmlformats.org/officeDocument/2006/extended-properties" xmlns:vt="http://schemas.openxmlformats.org/officeDocument/2006/docPropsVTypes">
  <Template>团体标准</Template>
  <Pages>8</Pages>
  <Words>4120</Words>
  <Characters>4448</Characters>
  <Lines>53</Lines>
  <Paragraphs>14</Paragraphs>
  <TotalTime>0</TotalTime>
  <ScaleCrop>false</ScaleCrop>
  <LinksUpToDate>false</LinksUpToDate>
  <CharactersWithSpaces>4567</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2025-08-27T07:45:00Z</dcterms:created>
  <dc:creator>乔南一</dc:creator>
  <cp:lastModifiedBy>WPS_1742196473</cp:lastModifiedBy>
  <cp:lastPrinted>2025-08-13T07:43:00Z</cp:lastPrinted>
  <dcterms:modified xsi:type="dcterms:W3CDTF">2025-09-02T07:57:13Z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ICV">
    <vt:lpwstr>67AFBC1683B14EECA42A12029EBE609E_13</vt:lpwstr>
  </property>
  <property fmtid="{D5CDD505-2E9C-101B-9397-08002B2CF9AE}" pid="15" name="KSOTemplateDocerSaveRecord">
    <vt:lpwstr>eyJoZGlkIjoiZmQ3Njg4NzQwNzMyMWFiZmQ0MTY0MGI5YzI0NTg2NjgiLCJ1c2VySWQiOiI0MjQzNzI5MzAifQ==</vt:lpwstr>
  </property>
  <property fmtid="{D5CDD505-2E9C-101B-9397-08002B2CF9AE}" pid="16" name="KSOProductBuildVer">
    <vt:lpwstr>2052-12.1.0.22089</vt:lpwstr>
  </property>
</Properties>
</file>