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16A58D2">
      <w:pPr>
        <w:widowControl/>
        <w:kinsoku w:val="0"/>
        <w:autoSpaceDE w:val="0"/>
        <w:autoSpaceDN w:val="0"/>
        <w:adjustRightInd w:val="0"/>
        <w:snapToGrid w:val="0"/>
        <w:spacing w:before="198" w:line="199" w:lineRule="auto"/>
        <w:ind w:left="757"/>
        <w:jc w:val="center"/>
        <w:textAlignment w:val="baseline"/>
        <w:rPr>
          <w:rFonts w:hint="eastAsia" w:ascii="黑体" w:hAnsi="黑体" w:eastAsia="黑体" w:cs="Microsoft YaHei UI"/>
          <w:snapToGrid w:val="0"/>
          <w:color w:val="000000"/>
          <w:spacing w:val="-2"/>
          <w:kern w:val="0"/>
          <w:sz w:val="32"/>
          <w:szCs w:val="32"/>
        </w:rPr>
      </w:pPr>
      <w:r>
        <w:rPr>
          <w:rFonts w:hint="eastAsia" w:ascii="黑体" w:hAnsi="黑体" w:eastAsia="黑体" w:cs="Microsoft YaHei UI"/>
          <w:snapToGrid w:val="0"/>
          <w:color w:val="000000"/>
          <w:spacing w:val="-2"/>
          <w:kern w:val="0"/>
          <w:sz w:val="32"/>
          <w:szCs w:val="32"/>
        </w:rPr>
        <w:t>团体标准</w:t>
      </w:r>
      <w:bookmarkStart w:id="0" w:name="OLE_LINK2"/>
    </w:p>
    <w:p w14:paraId="313931AE">
      <w:pPr>
        <w:widowControl/>
        <w:kinsoku w:val="0"/>
        <w:autoSpaceDE w:val="0"/>
        <w:autoSpaceDN w:val="0"/>
        <w:adjustRightInd w:val="0"/>
        <w:snapToGrid w:val="0"/>
        <w:spacing w:before="198" w:line="199" w:lineRule="auto"/>
        <w:ind w:left="757"/>
        <w:jc w:val="center"/>
        <w:textAlignment w:val="baseline"/>
        <w:rPr>
          <w:rFonts w:hint="eastAsia" w:ascii="黑体" w:hAnsi="黑体" w:eastAsia="黑体" w:cs="Microsoft YaHei UI"/>
          <w:snapToGrid w:val="0"/>
          <w:color w:val="000000"/>
          <w:spacing w:val="-2"/>
          <w:kern w:val="0"/>
          <w:sz w:val="32"/>
          <w:szCs w:val="32"/>
        </w:rPr>
      </w:pPr>
      <w:r>
        <w:rPr>
          <w:rFonts w:hint="eastAsia" w:ascii="黑体" w:hAnsi="黑体" w:eastAsia="黑体" w:cs="Microsoft YaHei UI"/>
          <w:snapToGrid w:val="0"/>
          <w:color w:val="000000"/>
          <w:spacing w:val="-2"/>
          <w:kern w:val="0"/>
          <w:sz w:val="32"/>
          <w:szCs w:val="32"/>
        </w:rPr>
        <w:t>《</w:t>
      </w:r>
      <w:bookmarkStart w:id="10" w:name="_GoBack"/>
      <w:r>
        <w:rPr>
          <w:rFonts w:ascii="黑体" w:hAnsi="黑体" w:eastAsia="黑体" w:cs="Microsoft YaHei UI"/>
          <w:snapToGrid w:val="0"/>
          <w:color w:val="000000"/>
          <w:spacing w:val="-2"/>
          <w:kern w:val="0"/>
          <w:sz w:val="32"/>
          <w:szCs w:val="32"/>
        </w:rPr>
        <w:t>高质量数据集检验检测指标体系要求</w:t>
      </w:r>
      <w:bookmarkEnd w:id="10"/>
      <w:r>
        <w:rPr>
          <w:rFonts w:hint="eastAsia" w:ascii="黑体" w:hAnsi="黑体" w:eastAsia="黑体" w:cs="Microsoft YaHei UI"/>
          <w:snapToGrid w:val="0"/>
          <w:color w:val="000000"/>
          <w:spacing w:val="-2"/>
          <w:kern w:val="0"/>
          <w:sz w:val="32"/>
          <w:szCs w:val="32"/>
        </w:rPr>
        <w:t>》</w:t>
      </w:r>
      <w:bookmarkEnd w:id="0"/>
    </w:p>
    <w:p w14:paraId="517283A9">
      <w:pPr>
        <w:widowControl/>
        <w:kinsoku w:val="0"/>
        <w:autoSpaceDE w:val="0"/>
        <w:autoSpaceDN w:val="0"/>
        <w:adjustRightInd w:val="0"/>
        <w:snapToGrid w:val="0"/>
        <w:spacing w:before="198" w:line="199" w:lineRule="auto"/>
        <w:ind w:left="757"/>
        <w:jc w:val="center"/>
        <w:textAlignment w:val="baseline"/>
        <w:rPr>
          <w:rFonts w:hint="eastAsia" w:ascii="黑体" w:hAnsi="黑体" w:eastAsia="黑体" w:cs="Microsoft YaHei UI"/>
          <w:snapToGrid w:val="0"/>
          <w:color w:val="000000"/>
          <w:spacing w:val="-2"/>
          <w:kern w:val="0"/>
          <w:sz w:val="32"/>
          <w:szCs w:val="32"/>
        </w:rPr>
      </w:pPr>
      <w:r>
        <w:rPr>
          <w:rFonts w:ascii="黑体" w:hAnsi="黑体" w:eastAsia="黑体" w:cs="Microsoft YaHei UI"/>
          <w:snapToGrid w:val="0"/>
          <w:color w:val="000000"/>
          <w:spacing w:val="-2"/>
          <w:kern w:val="0"/>
          <w:sz w:val="32"/>
          <w:szCs w:val="32"/>
        </w:rPr>
        <w:t>编制说明</w:t>
      </w:r>
    </w:p>
    <w:p w14:paraId="5483C90B">
      <w:pPr>
        <w:pStyle w:val="2"/>
        <w:pageBreakBefore w:val="0"/>
        <w:widowControl w:val="0"/>
        <w:numPr>
          <w:ilvl w:val="0"/>
          <w:numId w:val="1"/>
        </w:numPr>
        <w:kinsoku/>
        <w:wordWrap/>
        <w:overflowPunct/>
        <w:topLinePunct w:val="0"/>
        <w:autoSpaceDE/>
        <w:autoSpaceDN/>
        <w:bidi w:val="0"/>
        <w:adjustRightInd/>
        <w:snapToGrid/>
        <w:spacing w:before="0" w:after="0" w:line="360" w:lineRule="auto"/>
        <w:ind w:firstLine="420" w:firstLineChars="200"/>
        <w:jc w:val="both"/>
        <w:textAlignment w:val="auto"/>
        <w:rPr>
          <w:rFonts w:hint="eastAsia" w:ascii="黑体" w:hAnsi="黑体" w:eastAsia="黑体" w:cs="黑体"/>
          <w:b w:val="0"/>
          <w:bCs/>
          <w:sz w:val="21"/>
          <w:szCs w:val="21"/>
        </w:rPr>
      </w:pPr>
      <w:r>
        <w:rPr>
          <w:rFonts w:hint="eastAsia" w:ascii="黑体" w:hAnsi="黑体" w:eastAsia="黑体" w:cs="黑体"/>
          <w:b w:val="0"/>
          <w:bCs/>
          <w:sz w:val="21"/>
          <w:szCs w:val="21"/>
        </w:rPr>
        <w:t>项目来源</w:t>
      </w:r>
    </w:p>
    <w:p w14:paraId="5233EF2D">
      <w:pPr>
        <w:pageBreakBefore w:val="0"/>
        <w:widowControl w:val="0"/>
        <w:kinsoku/>
        <w:wordWrap/>
        <w:overflowPunct/>
        <w:topLinePunct w:val="0"/>
        <w:autoSpaceDE/>
        <w:autoSpaceDN/>
        <w:bidi w:val="0"/>
        <w:adjustRightInd/>
        <w:snapToGrid/>
        <w:spacing w:line="360" w:lineRule="auto"/>
        <w:ind w:firstLine="416" w:firstLineChars="200"/>
        <w:jc w:val="both"/>
        <w:textAlignment w:val="auto"/>
        <w:rPr>
          <w:rFonts w:hint="eastAsia" w:cs="仿宋" w:asciiTheme="minorEastAsia" w:hAnsiTheme="minorEastAsia"/>
          <w:snapToGrid w:val="0"/>
          <w:color w:val="000000"/>
          <w:spacing w:val="-1"/>
          <w:kern w:val="0"/>
          <w:szCs w:val="21"/>
        </w:rPr>
      </w:pPr>
      <w:bookmarkStart w:id="1" w:name="OLE_LINK1"/>
      <w:r>
        <w:rPr>
          <w:rFonts w:hint="eastAsia" w:cs="仿宋" w:asciiTheme="minorEastAsia" w:hAnsiTheme="minorEastAsia"/>
          <w:snapToGrid w:val="0"/>
          <w:color w:val="000000"/>
          <w:spacing w:val="-1"/>
          <w:kern w:val="0"/>
          <w:szCs w:val="21"/>
        </w:rPr>
        <w:t>本项目来源于中国出入境检验检疫协会TC12标准化技术委员会批准的团体标准制修订立任务。</w:t>
      </w:r>
    </w:p>
    <w:p w14:paraId="777E5C98">
      <w:pPr>
        <w:pageBreakBefore w:val="0"/>
        <w:widowControl w:val="0"/>
        <w:kinsoku/>
        <w:wordWrap/>
        <w:overflowPunct/>
        <w:topLinePunct w:val="0"/>
        <w:autoSpaceDE/>
        <w:autoSpaceDN/>
        <w:bidi w:val="0"/>
        <w:adjustRightInd/>
        <w:snapToGrid/>
        <w:spacing w:line="360" w:lineRule="auto"/>
        <w:ind w:firstLine="416" w:firstLineChars="200"/>
        <w:jc w:val="both"/>
        <w:textAlignment w:val="auto"/>
        <w:rPr>
          <w:rFonts w:hint="eastAsia" w:cs="仿宋" w:asciiTheme="minorEastAsia" w:hAnsiTheme="minorEastAsia"/>
          <w:snapToGrid w:val="0"/>
          <w:color w:val="000000"/>
          <w:spacing w:val="-1"/>
          <w:kern w:val="0"/>
          <w:szCs w:val="21"/>
        </w:rPr>
      </w:pPr>
      <w:r>
        <w:rPr>
          <w:rFonts w:hint="eastAsia" w:cs="仿宋" w:asciiTheme="minorEastAsia" w:hAnsiTheme="minorEastAsia"/>
          <w:snapToGrid w:val="0"/>
          <w:color w:val="000000"/>
          <w:spacing w:val="-1"/>
          <w:kern w:val="0"/>
          <w:szCs w:val="21"/>
        </w:rPr>
        <w:t>项目由中检集团天帷信息技术股份有限公司牵头，</w:t>
      </w:r>
      <w:r>
        <w:rPr>
          <w:rFonts w:hint="eastAsia"/>
        </w:rPr>
        <w:t>中国检验认证集团测试技术有限公司、广东颐点科技有限公司、安徽飞数信息科技有限公司、中检集团南方测试股份有限公司、数字安徽有限责任公司、安徽省数据交易所、北京海润天睿（合肥）律师事务所、中检技术服务（深圳）有限公司、上海君澜律师事务所</w:t>
      </w:r>
      <w:r>
        <w:rPr>
          <w:rFonts w:hint="eastAsia" w:cs="仿宋" w:asciiTheme="minorEastAsia" w:hAnsiTheme="minorEastAsia"/>
          <w:snapToGrid w:val="0"/>
          <w:color w:val="000000"/>
          <w:spacing w:val="-1"/>
          <w:kern w:val="0"/>
          <w:szCs w:val="21"/>
        </w:rPr>
        <w:t>等单位参与。</w:t>
      </w:r>
    </w:p>
    <w:bookmarkEnd w:id="1"/>
    <w:p w14:paraId="3CF705F4">
      <w:pPr>
        <w:pStyle w:val="2"/>
        <w:pageBreakBefore w:val="0"/>
        <w:widowControl w:val="0"/>
        <w:numPr>
          <w:ilvl w:val="0"/>
          <w:numId w:val="1"/>
        </w:numPr>
        <w:kinsoku/>
        <w:wordWrap/>
        <w:overflowPunct/>
        <w:topLinePunct w:val="0"/>
        <w:autoSpaceDE/>
        <w:autoSpaceDN/>
        <w:bidi w:val="0"/>
        <w:adjustRightInd/>
        <w:snapToGrid/>
        <w:spacing w:before="0" w:after="0" w:line="360" w:lineRule="auto"/>
        <w:ind w:firstLine="420" w:firstLineChars="200"/>
        <w:jc w:val="both"/>
        <w:textAlignment w:val="auto"/>
        <w:rPr>
          <w:rFonts w:hint="eastAsia" w:ascii="黑体" w:hAnsi="黑体" w:eastAsia="黑体" w:cs="黑体"/>
          <w:b w:val="0"/>
          <w:bCs/>
          <w:sz w:val="21"/>
          <w:szCs w:val="21"/>
        </w:rPr>
      </w:pPr>
      <w:r>
        <w:rPr>
          <w:rFonts w:hint="eastAsia" w:ascii="黑体" w:hAnsi="黑体" w:eastAsia="黑体" w:cs="黑体"/>
          <w:b w:val="0"/>
          <w:bCs/>
          <w:sz w:val="21"/>
          <w:szCs w:val="21"/>
        </w:rPr>
        <w:t>必要性和意义</w:t>
      </w:r>
    </w:p>
    <w:p w14:paraId="0A5B8203">
      <w:pPr>
        <w:pStyle w:val="3"/>
        <w:pageBreakBefore w:val="0"/>
        <w:widowControl w:val="0"/>
        <w:kinsoku/>
        <w:wordWrap/>
        <w:overflowPunct/>
        <w:topLinePunct w:val="0"/>
        <w:autoSpaceDE/>
        <w:autoSpaceDN/>
        <w:bidi w:val="0"/>
        <w:adjustRightInd/>
        <w:snapToGrid/>
        <w:spacing w:before="0" w:after="0" w:line="360" w:lineRule="auto"/>
        <w:ind w:firstLine="420" w:firstLineChars="200"/>
        <w:jc w:val="both"/>
        <w:textAlignment w:val="auto"/>
        <w:rPr>
          <w:b w:val="0"/>
          <w:bCs/>
          <w:sz w:val="21"/>
          <w:szCs w:val="21"/>
        </w:rPr>
      </w:pPr>
      <w:r>
        <w:rPr>
          <w:rFonts w:hint="eastAsia"/>
          <w:b w:val="0"/>
          <w:bCs/>
          <w:sz w:val="21"/>
          <w:szCs w:val="21"/>
        </w:rPr>
        <w:t>（一）必要性</w:t>
      </w:r>
    </w:p>
    <w:p w14:paraId="0FE08718">
      <w:pPr>
        <w:pageBreakBefore w:val="0"/>
        <w:widowControl w:val="0"/>
        <w:kinsoku/>
        <w:wordWrap/>
        <w:overflowPunct/>
        <w:topLinePunct w:val="0"/>
        <w:autoSpaceDE/>
        <w:autoSpaceDN/>
        <w:bidi w:val="0"/>
        <w:adjustRightInd/>
        <w:snapToGrid/>
        <w:spacing w:line="360" w:lineRule="auto"/>
        <w:ind w:firstLine="418" w:firstLineChars="200"/>
        <w:jc w:val="both"/>
        <w:textAlignment w:val="auto"/>
        <w:rPr>
          <w:rFonts w:hint="eastAsia" w:cs="仿宋" w:asciiTheme="minorEastAsia" w:hAnsiTheme="minorEastAsia"/>
          <w:b/>
          <w:bCs/>
          <w:snapToGrid w:val="0"/>
          <w:color w:val="000000"/>
          <w:spacing w:val="-1"/>
          <w:kern w:val="0"/>
          <w:szCs w:val="21"/>
        </w:rPr>
      </w:pPr>
      <w:bookmarkStart w:id="2" w:name="OLE_LINK3"/>
      <w:r>
        <w:rPr>
          <w:rFonts w:hint="eastAsia" w:cs="仿宋" w:asciiTheme="minorEastAsia" w:hAnsiTheme="minorEastAsia"/>
          <w:b/>
          <w:bCs/>
          <w:snapToGrid w:val="0"/>
          <w:color w:val="000000"/>
          <w:spacing w:val="-1"/>
          <w:kern w:val="0"/>
          <w:szCs w:val="21"/>
        </w:rPr>
        <w:t>1、推动数据要素高效交易的需要</w:t>
      </w:r>
    </w:p>
    <w:p w14:paraId="3093DB50">
      <w:pPr>
        <w:pageBreakBefore w:val="0"/>
        <w:widowControl w:val="0"/>
        <w:kinsoku/>
        <w:wordWrap/>
        <w:overflowPunct/>
        <w:topLinePunct w:val="0"/>
        <w:autoSpaceDE/>
        <w:autoSpaceDN/>
        <w:bidi w:val="0"/>
        <w:adjustRightInd/>
        <w:snapToGrid/>
        <w:spacing w:line="360" w:lineRule="auto"/>
        <w:ind w:firstLine="416" w:firstLineChars="200"/>
        <w:jc w:val="both"/>
        <w:textAlignment w:val="auto"/>
        <w:rPr>
          <w:rFonts w:hint="eastAsia" w:cs="仿宋" w:asciiTheme="minorEastAsia" w:hAnsiTheme="minorEastAsia"/>
          <w:snapToGrid w:val="0"/>
          <w:color w:val="000000"/>
          <w:spacing w:val="-1"/>
          <w:kern w:val="0"/>
          <w:szCs w:val="21"/>
        </w:rPr>
      </w:pPr>
      <w:r>
        <w:rPr>
          <w:rFonts w:hint="eastAsia" w:cs="仿宋" w:asciiTheme="minorEastAsia" w:hAnsiTheme="minorEastAsia"/>
          <w:snapToGrid w:val="0"/>
          <w:color w:val="000000"/>
          <w:spacing w:val="-1"/>
          <w:kern w:val="0"/>
          <w:szCs w:val="21"/>
        </w:rPr>
        <w:t>《中共中央 国务院关于构建数据基础制度更好发挥数据要素作用的意见》明确提出：“数据作为新型生产要素，是数字化、网络化、智能化的基础”“充分发挥我国海量数据规模和丰富应用场景优势，激活数据要素潜能，做强做优做大数字经济，增强经济发展新动能。”数据作为数字经济的重要支撑，实体经济的赋能支撑，其高效交易是发挥数据要素作用的重要内容。其中，数据是否值得交易、交易价格如何确定等</w:t>
      </w:r>
      <w:r>
        <w:rPr>
          <w:rFonts w:hint="eastAsia" w:cs="仿宋" w:asciiTheme="minorEastAsia" w:hAnsiTheme="minorEastAsia"/>
          <w:snapToGrid w:val="0"/>
          <w:color w:val="000000"/>
          <w:spacing w:val="-1"/>
          <w:kern w:val="0"/>
          <w:szCs w:val="21"/>
          <w:lang w:val="en-US" w:eastAsia="zh-CN"/>
        </w:rPr>
        <w:t>是</w:t>
      </w:r>
      <w:r>
        <w:rPr>
          <w:rFonts w:hint="eastAsia" w:cs="仿宋" w:asciiTheme="minorEastAsia" w:hAnsiTheme="minorEastAsia"/>
          <w:snapToGrid w:val="0"/>
          <w:color w:val="000000"/>
          <w:spacing w:val="-1"/>
          <w:kern w:val="0"/>
          <w:szCs w:val="21"/>
        </w:rPr>
        <w:t>制约数据要素高效交易的重要难题。为此，</w:t>
      </w:r>
      <w:r>
        <w:rPr>
          <w:rFonts w:hint="eastAsia" w:cs="仿宋" w:asciiTheme="minorEastAsia" w:hAnsiTheme="minorEastAsia"/>
          <w:snapToGrid w:val="0"/>
          <w:color w:val="000000"/>
          <w:spacing w:val="-1"/>
          <w:kern w:val="0"/>
          <w:szCs w:val="21"/>
          <w:lang w:val="en-US" w:eastAsia="zh-CN"/>
        </w:rPr>
        <w:t>就需要</w:t>
      </w:r>
      <w:r>
        <w:rPr>
          <w:rFonts w:hint="eastAsia" w:cs="仿宋" w:asciiTheme="minorEastAsia" w:hAnsiTheme="minorEastAsia"/>
          <w:snapToGrid w:val="0"/>
          <w:color w:val="000000"/>
          <w:spacing w:val="-1"/>
          <w:kern w:val="0"/>
          <w:szCs w:val="21"/>
        </w:rPr>
        <w:t>构建面向数据质量评价共性要求和人工智能应用特殊应用的高质量数据集检验检测指标体系，建立数据集质量检验检测</w:t>
      </w:r>
      <w:r>
        <w:rPr>
          <w:rFonts w:hint="eastAsia" w:cs="仿宋" w:asciiTheme="minorEastAsia" w:hAnsiTheme="minorEastAsia"/>
          <w:snapToGrid w:val="0"/>
          <w:color w:val="000000"/>
          <w:spacing w:val="-1"/>
          <w:kern w:val="0"/>
          <w:szCs w:val="21"/>
          <w:lang w:val="en-US" w:eastAsia="zh-CN"/>
        </w:rPr>
        <w:t>方法</w:t>
      </w:r>
      <w:r>
        <w:rPr>
          <w:rFonts w:hint="eastAsia" w:cs="仿宋" w:asciiTheme="minorEastAsia" w:hAnsiTheme="minorEastAsia"/>
          <w:snapToGrid w:val="0"/>
          <w:color w:val="000000"/>
          <w:spacing w:val="-1"/>
          <w:kern w:val="0"/>
          <w:szCs w:val="21"/>
        </w:rPr>
        <w:t>，提升数据集</w:t>
      </w:r>
      <w:r>
        <w:rPr>
          <w:rFonts w:hint="eastAsia" w:cs="仿宋" w:asciiTheme="minorEastAsia" w:hAnsiTheme="minorEastAsia"/>
          <w:snapToGrid w:val="0"/>
          <w:color w:val="000000"/>
          <w:spacing w:val="-1"/>
          <w:kern w:val="0"/>
          <w:szCs w:val="21"/>
          <w:lang w:val="en-US" w:eastAsia="zh-CN"/>
        </w:rPr>
        <w:t>质量</w:t>
      </w:r>
      <w:r>
        <w:rPr>
          <w:rFonts w:hint="eastAsia" w:cs="仿宋" w:asciiTheme="minorEastAsia" w:hAnsiTheme="minorEastAsia"/>
          <w:snapToGrid w:val="0"/>
          <w:color w:val="000000"/>
          <w:spacing w:val="-1"/>
          <w:kern w:val="0"/>
          <w:szCs w:val="21"/>
        </w:rPr>
        <w:t>检验检测结果的</w:t>
      </w:r>
      <w:r>
        <w:rPr>
          <w:rFonts w:hint="eastAsia" w:cs="仿宋" w:asciiTheme="minorEastAsia" w:hAnsiTheme="minorEastAsia"/>
          <w:snapToGrid w:val="0"/>
          <w:color w:val="000000"/>
          <w:spacing w:val="-1"/>
          <w:kern w:val="0"/>
          <w:szCs w:val="21"/>
          <w:lang w:val="en-US" w:eastAsia="zh-CN"/>
        </w:rPr>
        <w:t>合理性和有效性</w:t>
      </w:r>
      <w:r>
        <w:rPr>
          <w:rFonts w:hint="eastAsia" w:cs="仿宋" w:asciiTheme="minorEastAsia" w:hAnsiTheme="minorEastAsia"/>
          <w:snapToGrid w:val="0"/>
          <w:color w:val="000000"/>
          <w:spacing w:val="-1"/>
          <w:kern w:val="0"/>
          <w:szCs w:val="21"/>
        </w:rPr>
        <w:t>，</w:t>
      </w:r>
      <w:r>
        <w:rPr>
          <w:rFonts w:hint="eastAsia" w:cs="仿宋" w:asciiTheme="minorEastAsia" w:hAnsiTheme="minorEastAsia"/>
          <w:snapToGrid w:val="0"/>
          <w:color w:val="000000"/>
          <w:spacing w:val="-1"/>
          <w:kern w:val="0"/>
          <w:szCs w:val="21"/>
          <w:lang w:val="en-US" w:eastAsia="zh-CN"/>
        </w:rPr>
        <w:t>为</w:t>
      </w:r>
      <w:r>
        <w:rPr>
          <w:rFonts w:hint="eastAsia" w:cs="仿宋" w:asciiTheme="minorEastAsia" w:hAnsiTheme="minorEastAsia"/>
          <w:snapToGrid w:val="0"/>
          <w:color w:val="000000"/>
          <w:spacing w:val="-1"/>
          <w:kern w:val="0"/>
          <w:szCs w:val="21"/>
        </w:rPr>
        <w:t>准确合理确定数据集价格提供强有力的支撑。</w:t>
      </w:r>
    </w:p>
    <w:p w14:paraId="52C66F0A">
      <w:pPr>
        <w:pageBreakBefore w:val="0"/>
        <w:widowControl w:val="0"/>
        <w:kinsoku/>
        <w:wordWrap/>
        <w:overflowPunct/>
        <w:topLinePunct w:val="0"/>
        <w:autoSpaceDE/>
        <w:autoSpaceDN/>
        <w:bidi w:val="0"/>
        <w:adjustRightInd/>
        <w:snapToGrid/>
        <w:spacing w:line="360" w:lineRule="auto"/>
        <w:ind w:firstLine="418" w:firstLineChars="200"/>
        <w:jc w:val="both"/>
        <w:textAlignment w:val="auto"/>
        <w:rPr>
          <w:rFonts w:hint="eastAsia" w:cs="仿宋" w:asciiTheme="minorEastAsia" w:hAnsiTheme="minorEastAsia"/>
          <w:b/>
          <w:bCs/>
          <w:snapToGrid w:val="0"/>
          <w:color w:val="000000"/>
          <w:spacing w:val="-1"/>
          <w:kern w:val="0"/>
          <w:szCs w:val="21"/>
        </w:rPr>
      </w:pPr>
      <w:r>
        <w:rPr>
          <w:rFonts w:hint="eastAsia" w:cs="仿宋" w:asciiTheme="minorEastAsia" w:hAnsiTheme="minorEastAsia"/>
          <w:b/>
          <w:bCs/>
          <w:snapToGrid w:val="0"/>
          <w:color w:val="000000"/>
          <w:spacing w:val="-1"/>
          <w:kern w:val="0"/>
          <w:szCs w:val="21"/>
        </w:rPr>
        <w:t>2、支撑AI模型创新与突破的需要</w:t>
      </w:r>
    </w:p>
    <w:p w14:paraId="335160F5">
      <w:pPr>
        <w:pageBreakBefore w:val="0"/>
        <w:widowControl w:val="0"/>
        <w:kinsoku/>
        <w:wordWrap/>
        <w:overflowPunct/>
        <w:topLinePunct w:val="0"/>
        <w:autoSpaceDE/>
        <w:autoSpaceDN/>
        <w:bidi w:val="0"/>
        <w:adjustRightInd/>
        <w:snapToGrid/>
        <w:spacing w:line="360" w:lineRule="auto"/>
        <w:ind w:firstLine="416" w:firstLineChars="200"/>
        <w:jc w:val="both"/>
        <w:textAlignment w:val="auto"/>
        <w:rPr>
          <w:rFonts w:hint="eastAsia" w:cs="仿宋" w:asciiTheme="minorEastAsia" w:hAnsiTheme="minorEastAsia"/>
          <w:snapToGrid w:val="0"/>
          <w:spacing w:val="-1"/>
          <w:kern w:val="0"/>
          <w:szCs w:val="21"/>
        </w:rPr>
      </w:pPr>
      <w:r>
        <w:rPr>
          <w:rFonts w:hint="eastAsia" w:cs="仿宋" w:asciiTheme="minorEastAsia" w:hAnsiTheme="minorEastAsia"/>
          <w:snapToGrid w:val="0"/>
          <w:spacing w:val="-1"/>
          <w:kern w:val="0"/>
          <w:szCs w:val="21"/>
        </w:rPr>
        <w:t>随着大模型技术的迅猛发展和算法趋同、算力普及的技术潮流，人工智能发展正经历着由“以模型为中心”向“以数据为中心”的范式迁移，数据质量与规模已成为决定模型性能的核心要素。以</w:t>
      </w:r>
      <w:r>
        <w:rPr>
          <w:rFonts w:cs="仿宋" w:asciiTheme="minorEastAsia" w:hAnsiTheme="minorEastAsia"/>
          <w:snapToGrid w:val="0"/>
          <w:spacing w:val="-1"/>
          <w:kern w:val="0"/>
          <w:szCs w:val="21"/>
        </w:rPr>
        <w:t xml:space="preserve">OpenAI </w:t>
      </w:r>
      <w:r>
        <w:rPr>
          <w:rFonts w:hint="eastAsia" w:cs="仿宋" w:asciiTheme="minorEastAsia" w:hAnsiTheme="minorEastAsia"/>
          <w:snapToGrid w:val="0"/>
          <w:spacing w:val="-1"/>
          <w:kern w:val="0"/>
          <w:szCs w:val="21"/>
        </w:rPr>
        <w:t>为代表的国际领先企业正通过强化微调等技术手段，依托小规模但高度精准、结构化的高质量数据集，实现大模型在垂直领域的专业化和实用化演进。这种“以质取胜”的数据策略显著提升了模型性能与落地能力。面对全球AI竞争的新格局、新趋势，迫切需要建立高质量数据集供给体系，发展出高质量数据集检验检测手段，从大量的数据集中筛选真正有效的高质量数据集，为大模型技术研发和产业化提供支撑。在高质量数据集检测检测手段研究中，高质量数据集检验检测指标构建是其中尤为关键一环，检验检测指标体系选取的好坏将直接决定数据集检验检测结果的好坏，这对判断高质量数据集的质量至关重要。因此，必须建立既科学合理又具有实际操作意义的检验检测指标体系框架。</w:t>
      </w:r>
    </w:p>
    <w:bookmarkEnd w:id="2"/>
    <w:p w14:paraId="480A506D">
      <w:pPr>
        <w:pStyle w:val="3"/>
        <w:pageBreakBefore w:val="0"/>
        <w:widowControl w:val="0"/>
        <w:kinsoku/>
        <w:wordWrap/>
        <w:overflowPunct/>
        <w:topLinePunct w:val="0"/>
        <w:autoSpaceDE/>
        <w:autoSpaceDN/>
        <w:bidi w:val="0"/>
        <w:adjustRightInd/>
        <w:snapToGrid/>
        <w:spacing w:before="0" w:after="0" w:line="360" w:lineRule="auto"/>
        <w:ind w:firstLine="420" w:firstLineChars="200"/>
        <w:jc w:val="both"/>
        <w:textAlignment w:val="auto"/>
        <w:rPr>
          <w:b w:val="0"/>
          <w:bCs/>
          <w:sz w:val="21"/>
          <w:szCs w:val="21"/>
        </w:rPr>
      </w:pPr>
      <w:r>
        <w:rPr>
          <w:rFonts w:hint="eastAsia"/>
          <w:b w:val="0"/>
          <w:bCs/>
          <w:sz w:val="21"/>
          <w:szCs w:val="21"/>
        </w:rPr>
        <w:t>（二）目的及意义</w:t>
      </w:r>
    </w:p>
    <w:p w14:paraId="16E1D126">
      <w:pPr>
        <w:pageBreakBefore w:val="0"/>
        <w:widowControl w:val="0"/>
        <w:kinsoku/>
        <w:wordWrap/>
        <w:overflowPunct/>
        <w:topLinePunct w:val="0"/>
        <w:autoSpaceDE/>
        <w:autoSpaceDN/>
        <w:bidi w:val="0"/>
        <w:adjustRightInd/>
        <w:snapToGrid/>
        <w:spacing w:line="360" w:lineRule="auto"/>
        <w:ind w:firstLine="420" w:firstLineChars="200"/>
        <w:jc w:val="both"/>
        <w:textAlignment w:val="auto"/>
        <w:rPr>
          <w:rFonts w:hint="eastAsia" w:cs="仿宋" w:asciiTheme="minorEastAsia" w:hAnsiTheme="minorEastAsia"/>
          <w:snapToGrid w:val="0"/>
          <w:spacing w:val="-1"/>
          <w:kern w:val="0"/>
          <w:szCs w:val="21"/>
        </w:rPr>
      </w:pPr>
      <w:r>
        <w:rPr>
          <w:rFonts w:hint="eastAsia"/>
        </w:rPr>
        <w:t xml:space="preserve"> </w:t>
      </w:r>
      <w:bookmarkStart w:id="3" w:name="OLE_LINK4"/>
      <w:r>
        <w:rPr>
          <w:rFonts w:hint="eastAsia" w:cs="仿宋" w:asciiTheme="minorEastAsia" w:hAnsiTheme="minorEastAsia"/>
          <w:snapToGrid w:val="0"/>
          <w:spacing w:val="-1"/>
          <w:kern w:val="0"/>
          <w:szCs w:val="21"/>
        </w:rPr>
        <w:t xml:space="preserve">高质量数据集是开发和训练人工智能模型的重要支撑，一是通用模型、行业模型、场景模型等不同类型模型对不同类型高质量数据集的需求存在差异；二是开发和训练高质量的模型对数据集的质量要求也越来越高。如何构建评价高质量数据集质量的评价指标体系框架，这是当前制约高质量数据集发展的问题，目前还缺乏全面准确的、可操作性的高质量数据集评价指标体系。因此，制定《高质量数据集检验检测指标体系要求》团体标准，明确高质量数据集的检验检测指标体系、指标细则和指标说明，能解决当前数据集质量检测检验缺乏依据问题，为高质量数据集判定有据可依提供基础支撑。 </w:t>
      </w:r>
    </w:p>
    <w:bookmarkEnd w:id="3"/>
    <w:p w14:paraId="41FBC254">
      <w:pPr>
        <w:pStyle w:val="2"/>
        <w:pageBreakBefore w:val="0"/>
        <w:widowControl w:val="0"/>
        <w:numPr>
          <w:ilvl w:val="0"/>
          <w:numId w:val="1"/>
        </w:numPr>
        <w:kinsoku/>
        <w:wordWrap/>
        <w:overflowPunct/>
        <w:topLinePunct w:val="0"/>
        <w:autoSpaceDE/>
        <w:autoSpaceDN/>
        <w:bidi w:val="0"/>
        <w:adjustRightInd/>
        <w:snapToGrid/>
        <w:spacing w:before="0" w:after="0" w:line="360" w:lineRule="auto"/>
        <w:ind w:firstLine="420" w:firstLineChars="200"/>
        <w:jc w:val="both"/>
        <w:textAlignment w:val="auto"/>
        <w:rPr>
          <w:rFonts w:hint="eastAsia" w:ascii="黑体" w:hAnsi="黑体" w:eastAsia="黑体" w:cs="黑体"/>
          <w:b w:val="0"/>
          <w:bCs/>
          <w:sz w:val="21"/>
          <w:szCs w:val="21"/>
        </w:rPr>
      </w:pPr>
      <w:r>
        <w:rPr>
          <w:rFonts w:hint="eastAsia" w:ascii="黑体" w:hAnsi="黑体" w:eastAsia="黑体" w:cs="黑体"/>
          <w:b w:val="0"/>
          <w:bCs/>
          <w:sz w:val="21"/>
          <w:szCs w:val="21"/>
        </w:rPr>
        <w:t>项目编制过程</w:t>
      </w:r>
    </w:p>
    <w:p w14:paraId="41DEA431">
      <w:pPr>
        <w:pStyle w:val="3"/>
        <w:pageBreakBefore w:val="0"/>
        <w:widowControl w:val="0"/>
        <w:numPr>
          <w:ilvl w:val="0"/>
          <w:numId w:val="2"/>
        </w:numPr>
        <w:kinsoku/>
        <w:wordWrap/>
        <w:overflowPunct/>
        <w:topLinePunct w:val="0"/>
        <w:autoSpaceDE/>
        <w:autoSpaceDN/>
        <w:bidi w:val="0"/>
        <w:adjustRightInd/>
        <w:snapToGrid/>
        <w:spacing w:before="0" w:after="0" w:line="360" w:lineRule="auto"/>
        <w:ind w:firstLine="420" w:firstLineChars="200"/>
        <w:jc w:val="both"/>
        <w:textAlignment w:val="auto"/>
        <w:rPr>
          <w:b w:val="0"/>
          <w:bCs/>
          <w:sz w:val="21"/>
          <w:szCs w:val="21"/>
        </w:rPr>
      </w:pPr>
      <w:r>
        <w:rPr>
          <w:rFonts w:hint="eastAsia"/>
          <w:b w:val="0"/>
          <w:bCs/>
          <w:sz w:val="21"/>
          <w:szCs w:val="21"/>
        </w:rPr>
        <w:t>成立标准编制组织机构</w:t>
      </w:r>
    </w:p>
    <w:p w14:paraId="6DC44D79">
      <w:pPr>
        <w:pageBreakBefore w:val="0"/>
        <w:widowControl w:val="0"/>
        <w:kinsoku/>
        <w:wordWrap/>
        <w:overflowPunct/>
        <w:topLinePunct w:val="0"/>
        <w:autoSpaceDE/>
        <w:autoSpaceDN/>
        <w:bidi w:val="0"/>
        <w:adjustRightInd/>
        <w:snapToGrid/>
        <w:spacing w:line="360" w:lineRule="auto"/>
        <w:ind w:firstLine="416" w:firstLineChars="200"/>
        <w:jc w:val="both"/>
        <w:textAlignment w:val="auto"/>
        <w:rPr>
          <w:rFonts w:hint="eastAsia" w:ascii="宋体" w:hAnsi="宋体" w:eastAsia="宋体" w:cs="仿宋"/>
          <w:snapToGrid w:val="0"/>
          <w:color w:val="000000"/>
          <w:spacing w:val="-1"/>
          <w:kern w:val="0"/>
          <w:szCs w:val="21"/>
        </w:rPr>
      </w:pPr>
      <w:r>
        <w:rPr>
          <w:rFonts w:ascii="宋体" w:hAnsi="宋体" w:eastAsia="宋体" w:cs="仿宋"/>
          <w:snapToGrid w:val="0"/>
          <w:color w:val="000000"/>
          <w:spacing w:val="-1"/>
          <w:kern w:val="0"/>
          <w:szCs w:val="21"/>
        </w:rPr>
        <w:t>团体标准《高质量数据集检验检测指标体系要求》</w:t>
      </w:r>
      <w:r>
        <w:rPr>
          <w:rFonts w:hint="eastAsia" w:ascii="宋体" w:hAnsi="宋体" w:eastAsia="宋体" w:cs="仿宋"/>
          <w:snapToGrid w:val="0"/>
          <w:color w:val="000000"/>
          <w:spacing w:val="-1"/>
          <w:kern w:val="0"/>
          <w:szCs w:val="21"/>
        </w:rPr>
        <w:t>制订</w:t>
      </w:r>
      <w:r>
        <w:rPr>
          <w:rFonts w:ascii="宋体" w:hAnsi="宋体" w:eastAsia="宋体" w:cs="仿宋"/>
          <w:snapToGrid w:val="0"/>
          <w:color w:val="000000"/>
          <w:spacing w:val="-1"/>
          <w:kern w:val="0"/>
          <w:szCs w:val="21"/>
        </w:rPr>
        <w:t>项目任务下达后，</w:t>
      </w:r>
      <w:r>
        <w:rPr>
          <w:rFonts w:hint="eastAsia" w:ascii="宋体" w:hAnsi="宋体" w:eastAsia="宋体" w:cs="仿宋"/>
          <w:snapToGrid w:val="0"/>
          <w:color w:val="000000"/>
          <w:spacing w:val="-1"/>
          <w:kern w:val="0"/>
          <w:szCs w:val="21"/>
        </w:rPr>
        <w:t>中检集团天帷信息技术股份有限公司、</w:t>
      </w:r>
      <w:r>
        <w:rPr>
          <w:rFonts w:hint="eastAsia"/>
        </w:rPr>
        <w:t>中国检验认证集团测试技术有限公司、广东颐点科技有限公司、安徽飞数信息科技有限公司、中检集团南方测试股份有限公司、数字安徽有限责任公司、安徽省数据交易所、北京海润天睿（合肥）律师事务所、中检技术服务（深圳）有限公司、上海君澜律师事务所</w:t>
      </w:r>
      <w:r>
        <w:rPr>
          <w:rFonts w:ascii="宋体" w:hAnsi="宋体" w:eastAsia="宋体" w:cs="仿宋"/>
          <w:snapToGrid w:val="0"/>
          <w:color w:val="000000"/>
          <w:spacing w:val="-1"/>
          <w:kern w:val="0"/>
          <w:szCs w:val="21"/>
        </w:rPr>
        <w:t>成立了标准编制工作组。标准编制组安排时间进度，明确任务职责，确定工作技术路线，</w:t>
      </w:r>
      <w:r>
        <w:rPr>
          <w:rFonts w:hint="eastAsia" w:ascii="宋体" w:hAnsi="宋体" w:eastAsia="宋体" w:cs="仿宋"/>
          <w:snapToGrid w:val="0"/>
          <w:color w:val="000000"/>
          <w:spacing w:val="-1"/>
          <w:kern w:val="0"/>
          <w:szCs w:val="21"/>
        </w:rPr>
        <w:t>实施</w:t>
      </w:r>
      <w:r>
        <w:rPr>
          <w:rFonts w:ascii="宋体" w:hAnsi="宋体" w:eastAsia="宋体" w:cs="仿宋"/>
          <w:snapToGrid w:val="0"/>
          <w:color w:val="000000"/>
          <w:spacing w:val="-1"/>
          <w:kern w:val="0"/>
          <w:szCs w:val="21"/>
        </w:rPr>
        <w:t>标准研制工作。编制工作组</w:t>
      </w:r>
      <w:r>
        <w:rPr>
          <w:rFonts w:hint="eastAsia" w:ascii="宋体" w:hAnsi="宋体" w:eastAsia="宋体" w:cs="仿宋"/>
          <w:snapToGrid w:val="0"/>
          <w:color w:val="000000"/>
          <w:spacing w:val="-1"/>
          <w:kern w:val="0"/>
          <w:szCs w:val="21"/>
        </w:rPr>
        <w:t>还</w:t>
      </w:r>
      <w:r>
        <w:rPr>
          <w:rFonts w:ascii="宋体" w:hAnsi="宋体" w:eastAsia="宋体" w:cs="仿宋"/>
          <w:snapToGrid w:val="0"/>
          <w:color w:val="000000"/>
          <w:spacing w:val="-1"/>
          <w:kern w:val="0"/>
          <w:szCs w:val="21"/>
        </w:rPr>
        <w:t>下设三个组</w:t>
      </w:r>
      <w:r>
        <w:rPr>
          <w:rFonts w:hint="eastAsia" w:ascii="宋体" w:hAnsi="宋体" w:eastAsia="宋体" w:cs="仿宋"/>
          <w:snapToGrid w:val="0"/>
          <w:color w:val="000000"/>
          <w:spacing w:val="-1"/>
          <w:kern w:val="0"/>
          <w:szCs w:val="21"/>
        </w:rPr>
        <w:t>：</w:t>
      </w:r>
      <w:r>
        <w:rPr>
          <w:rFonts w:ascii="宋体" w:hAnsi="宋体" w:eastAsia="宋体" w:cs="仿宋"/>
          <w:snapToGrid w:val="0"/>
          <w:color w:val="000000"/>
          <w:spacing w:val="-1"/>
          <w:kern w:val="0"/>
          <w:szCs w:val="21"/>
        </w:rPr>
        <w:t>资料收集组、草案编写组</w:t>
      </w:r>
      <w:r>
        <w:rPr>
          <w:rFonts w:hint="eastAsia" w:ascii="宋体" w:hAnsi="宋体" w:eastAsia="宋体" w:cs="仿宋"/>
          <w:snapToGrid w:val="0"/>
          <w:color w:val="000000"/>
          <w:spacing w:val="-1"/>
          <w:kern w:val="0"/>
          <w:szCs w:val="21"/>
        </w:rPr>
        <w:t>和</w:t>
      </w:r>
      <w:r>
        <w:rPr>
          <w:rFonts w:ascii="宋体" w:hAnsi="宋体" w:eastAsia="宋体" w:cs="仿宋"/>
          <w:snapToGrid w:val="0"/>
          <w:color w:val="000000"/>
          <w:spacing w:val="-1"/>
          <w:kern w:val="0"/>
          <w:szCs w:val="21"/>
        </w:rPr>
        <w:t>标准实施组。</w:t>
      </w:r>
    </w:p>
    <w:p w14:paraId="66265ED7">
      <w:pPr>
        <w:pageBreakBefore w:val="0"/>
        <w:widowControl w:val="0"/>
        <w:kinsoku/>
        <w:wordWrap/>
        <w:overflowPunct/>
        <w:topLinePunct w:val="0"/>
        <w:autoSpaceDE/>
        <w:autoSpaceDN/>
        <w:bidi w:val="0"/>
        <w:adjustRightInd/>
        <w:snapToGrid/>
        <w:spacing w:line="360" w:lineRule="auto"/>
        <w:ind w:firstLine="416" w:firstLineChars="200"/>
        <w:jc w:val="both"/>
        <w:textAlignment w:val="auto"/>
        <w:rPr>
          <w:rFonts w:hint="eastAsia" w:ascii="宋体" w:hAnsi="宋体" w:eastAsia="宋体" w:cs="仿宋"/>
          <w:snapToGrid w:val="0"/>
          <w:color w:val="000000"/>
          <w:spacing w:val="-1"/>
          <w:kern w:val="0"/>
          <w:szCs w:val="21"/>
        </w:rPr>
      </w:pPr>
      <w:r>
        <w:rPr>
          <w:rFonts w:ascii="宋体" w:hAnsi="宋体" w:eastAsia="宋体" w:cs="仿宋"/>
          <w:snapToGrid w:val="0"/>
          <w:color w:val="000000"/>
          <w:spacing w:val="-1"/>
          <w:kern w:val="0"/>
          <w:szCs w:val="21"/>
        </w:rPr>
        <w:t>草案编写组</w:t>
      </w:r>
      <w:r>
        <w:rPr>
          <w:rFonts w:hint="eastAsia" w:ascii="宋体" w:hAnsi="宋体" w:eastAsia="宋体" w:cs="仿宋"/>
          <w:snapToGrid w:val="0"/>
          <w:color w:val="000000"/>
          <w:spacing w:val="-1"/>
          <w:kern w:val="0"/>
          <w:szCs w:val="21"/>
        </w:rPr>
        <w:t>：</w:t>
      </w:r>
      <w:r>
        <w:rPr>
          <w:rFonts w:ascii="宋体" w:hAnsi="宋体" w:eastAsia="宋体" w:cs="仿宋"/>
          <w:snapToGrid w:val="0"/>
          <w:color w:val="000000"/>
          <w:spacing w:val="-1"/>
          <w:kern w:val="0"/>
          <w:szCs w:val="21"/>
        </w:rPr>
        <w:t>负责标准草案、征求意见稿和标准编制说明、送审稿的编写工作，及后期召开征求意见会、网上征求意见，以及标准的不断修改和完善。</w:t>
      </w:r>
    </w:p>
    <w:p w14:paraId="6DD3E3C6">
      <w:pPr>
        <w:pageBreakBefore w:val="0"/>
        <w:widowControl w:val="0"/>
        <w:kinsoku/>
        <w:wordWrap/>
        <w:overflowPunct/>
        <w:topLinePunct w:val="0"/>
        <w:autoSpaceDE/>
        <w:autoSpaceDN/>
        <w:bidi w:val="0"/>
        <w:adjustRightInd/>
        <w:snapToGrid/>
        <w:spacing w:line="360" w:lineRule="auto"/>
        <w:ind w:firstLine="416" w:firstLineChars="200"/>
        <w:jc w:val="both"/>
        <w:textAlignment w:val="auto"/>
        <w:rPr>
          <w:rFonts w:hint="eastAsia" w:ascii="宋体" w:hAnsi="宋体" w:eastAsia="宋体" w:cs="仿宋"/>
          <w:snapToGrid w:val="0"/>
          <w:color w:val="000000"/>
          <w:spacing w:val="-1"/>
          <w:kern w:val="0"/>
          <w:szCs w:val="21"/>
        </w:rPr>
      </w:pPr>
      <w:r>
        <w:rPr>
          <w:rFonts w:ascii="宋体" w:hAnsi="宋体" w:eastAsia="宋体" w:cs="仿宋"/>
          <w:snapToGrid w:val="0"/>
          <w:color w:val="000000"/>
          <w:spacing w:val="-1"/>
          <w:kern w:val="0"/>
          <w:szCs w:val="21"/>
        </w:rPr>
        <w:t>资料收集组</w:t>
      </w:r>
      <w:r>
        <w:rPr>
          <w:rFonts w:hint="eastAsia" w:ascii="宋体" w:hAnsi="宋体" w:eastAsia="宋体" w:cs="仿宋"/>
          <w:snapToGrid w:val="0"/>
          <w:color w:val="000000"/>
          <w:spacing w:val="-1"/>
          <w:kern w:val="0"/>
          <w:szCs w:val="21"/>
        </w:rPr>
        <w:t>：</w:t>
      </w:r>
      <w:r>
        <w:rPr>
          <w:rFonts w:ascii="宋体" w:hAnsi="宋体" w:eastAsia="宋体" w:cs="仿宋"/>
          <w:snapToGrid w:val="0"/>
          <w:color w:val="000000"/>
          <w:spacing w:val="-1"/>
          <w:kern w:val="0"/>
          <w:szCs w:val="21"/>
        </w:rPr>
        <w:t>国内外有关</w:t>
      </w:r>
      <w:r>
        <w:rPr>
          <w:rFonts w:hint="eastAsia" w:ascii="宋体" w:hAnsi="宋体" w:eastAsia="宋体" w:cs="仿宋"/>
          <w:snapToGrid w:val="0"/>
          <w:color w:val="000000"/>
          <w:spacing w:val="-1"/>
          <w:kern w:val="0"/>
          <w:szCs w:val="21"/>
        </w:rPr>
        <w:t>高质量数据集</w:t>
      </w:r>
      <w:r>
        <w:rPr>
          <w:rFonts w:ascii="宋体" w:hAnsi="宋体" w:eastAsia="宋体" w:cs="仿宋"/>
          <w:snapToGrid w:val="0"/>
          <w:color w:val="000000"/>
          <w:spacing w:val="-1"/>
          <w:kern w:val="0"/>
          <w:szCs w:val="21"/>
        </w:rPr>
        <w:t>的文献资料查询、收集和整理工作。</w:t>
      </w:r>
    </w:p>
    <w:p w14:paraId="41A70065">
      <w:pPr>
        <w:pageBreakBefore w:val="0"/>
        <w:widowControl w:val="0"/>
        <w:kinsoku/>
        <w:wordWrap/>
        <w:overflowPunct/>
        <w:topLinePunct w:val="0"/>
        <w:autoSpaceDE/>
        <w:autoSpaceDN/>
        <w:bidi w:val="0"/>
        <w:adjustRightInd/>
        <w:snapToGrid/>
        <w:spacing w:line="360" w:lineRule="auto"/>
        <w:ind w:firstLine="416" w:firstLineChars="200"/>
        <w:jc w:val="both"/>
        <w:textAlignment w:val="auto"/>
        <w:rPr>
          <w:rFonts w:hint="eastAsia" w:ascii="宋体" w:hAnsi="宋体" w:eastAsia="宋体" w:cs="仿宋"/>
          <w:snapToGrid w:val="0"/>
          <w:color w:val="000000"/>
          <w:spacing w:val="-1"/>
          <w:kern w:val="0"/>
          <w:szCs w:val="21"/>
        </w:rPr>
      </w:pPr>
      <w:r>
        <w:rPr>
          <w:rFonts w:ascii="宋体" w:hAnsi="宋体" w:eastAsia="宋体" w:cs="仿宋"/>
          <w:snapToGrid w:val="0"/>
          <w:color w:val="000000"/>
          <w:spacing w:val="-1"/>
          <w:kern w:val="0"/>
          <w:szCs w:val="21"/>
        </w:rPr>
        <w:t>标准实施组</w:t>
      </w:r>
      <w:r>
        <w:rPr>
          <w:rFonts w:hint="eastAsia" w:ascii="宋体" w:hAnsi="宋体" w:eastAsia="宋体" w:cs="仿宋"/>
          <w:snapToGrid w:val="0"/>
          <w:color w:val="000000"/>
          <w:spacing w:val="-1"/>
          <w:kern w:val="0"/>
          <w:szCs w:val="21"/>
        </w:rPr>
        <w:t>：在</w:t>
      </w:r>
      <w:r>
        <w:rPr>
          <w:rFonts w:ascii="宋体" w:hAnsi="宋体" w:eastAsia="宋体" w:cs="仿宋"/>
          <w:snapToGrid w:val="0"/>
          <w:color w:val="000000"/>
          <w:spacing w:val="-1"/>
          <w:kern w:val="0"/>
          <w:szCs w:val="21"/>
        </w:rPr>
        <w:t>团体标准《高质量数据集检验检测指标体系要求》发布后，组织开展标准宣贯培训会，对标准进行详细解读，让</w:t>
      </w:r>
      <w:r>
        <w:rPr>
          <w:rFonts w:hint="eastAsia" w:ascii="宋体" w:hAnsi="宋体" w:eastAsia="宋体" w:cs="仿宋"/>
          <w:snapToGrid w:val="0"/>
          <w:color w:val="000000"/>
          <w:spacing w:val="-1"/>
          <w:kern w:val="0"/>
          <w:szCs w:val="21"/>
        </w:rPr>
        <w:t>相关人员</w:t>
      </w:r>
      <w:r>
        <w:rPr>
          <w:rFonts w:ascii="宋体" w:hAnsi="宋体" w:eastAsia="宋体" w:cs="仿宋"/>
          <w:snapToGrid w:val="0"/>
          <w:color w:val="000000"/>
          <w:spacing w:val="-1"/>
          <w:kern w:val="0"/>
          <w:szCs w:val="21"/>
        </w:rPr>
        <w:t>了解标准，并对标准实施情况进行总结分析，不</w:t>
      </w:r>
      <w:bookmarkStart w:id="4" w:name="_Hlk206062494"/>
      <w:r>
        <w:rPr>
          <w:rFonts w:ascii="宋体" w:hAnsi="宋体" w:eastAsia="宋体" w:cs="仿宋"/>
          <w:snapToGrid w:val="0"/>
          <w:color w:val="000000"/>
          <w:spacing w:val="-1"/>
          <w:kern w:val="0"/>
          <w:szCs w:val="21"/>
        </w:rPr>
        <w:t>断</w:t>
      </w:r>
      <w:r>
        <w:rPr>
          <w:rFonts w:hint="eastAsia" w:ascii="宋体" w:hAnsi="宋体" w:eastAsia="宋体" w:cs="仿宋"/>
          <w:snapToGrid w:val="0"/>
          <w:color w:val="000000"/>
          <w:spacing w:val="-1"/>
          <w:kern w:val="0"/>
          <w:szCs w:val="21"/>
        </w:rPr>
        <w:t>迭代更新本团体标准</w:t>
      </w:r>
      <w:bookmarkEnd w:id="4"/>
      <w:r>
        <w:rPr>
          <w:rFonts w:ascii="宋体" w:hAnsi="宋体" w:eastAsia="宋体" w:cs="仿宋"/>
          <w:snapToGrid w:val="0"/>
          <w:color w:val="000000"/>
          <w:spacing w:val="-1"/>
          <w:kern w:val="0"/>
          <w:szCs w:val="21"/>
        </w:rPr>
        <w:t>。</w:t>
      </w:r>
    </w:p>
    <w:p w14:paraId="2830486D">
      <w:pPr>
        <w:pStyle w:val="3"/>
        <w:pageBreakBefore w:val="0"/>
        <w:widowControl w:val="0"/>
        <w:numPr>
          <w:ilvl w:val="0"/>
          <w:numId w:val="2"/>
        </w:numPr>
        <w:kinsoku/>
        <w:wordWrap/>
        <w:overflowPunct/>
        <w:topLinePunct w:val="0"/>
        <w:autoSpaceDE/>
        <w:autoSpaceDN/>
        <w:bidi w:val="0"/>
        <w:adjustRightInd/>
        <w:snapToGrid/>
        <w:spacing w:before="0" w:after="0" w:line="360" w:lineRule="auto"/>
        <w:ind w:firstLine="420" w:firstLineChars="200"/>
        <w:jc w:val="both"/>
        <w:textAlignment w:val="auto"/>
        <w:rPr>
          <w:b w:val="0"/>
          <w:bCs/>
          <w:sz w:val="21"/>
          <w:szCs w:val="21"/>
        </w:rPr>
      </w:pPr>
      <w:r>
        <w:rPr>
          <w:rFonts w:hint="eastAsia"/>
          <w:b w:val="0"/>
          <w:bCs/>
          <w:sz w:val="21"/>
          <w:szCs w:val="21"/>
        </w:rPr>
        <w:t>资料收集、调查研究分析</w:t>
      </w:r>
    </w:p>
    <w:p w14:paraId="322527CB">
      <w:pPr>
        <w:pageBreakBefore w:val="0"/>
        <w:widowControl w:val="0"/>
        <w:kinsoku/>
        <w:wordWrap/>
        <w:overflowPunct/>
        <w:topLinePunct w:val="0"/>
        <w:autoSpaceDE/>
        <w:autoSpaceDN/>
        <w:bidi w:val="0"/>
        <w:adjustRightInd/>
        <w:snapToGrid/>
        <w:spacing w:line="360" w:lineRule="auto"/>
        <w:ind w:firstLine="416" w:firstLineChars="200"/>
        <w:jc w:val="both"/>
        <w:textAlignment w:val="auto"/>
        <w:rPr>
          <w:rFonts w:ascii="宋体" w:hAnsi="宋体" w:eastAsia="宋体"/>
          <w:bCs/>
          <w:szCs w:val="21"/>
        </w:rPr>
      </w:pPr>
      <w:r>
        <w:rPr>
          <w:rFonts w:hint="eastAsia" w:ascii="宋体" w:hAnsi="宋体" w:eastAsia="宋体" w:cs="仿宋"/>
          <w:snapToGrid w:val="0"/>
          <w:color w:val="000000"/>
          <w:spacing w:val="-1"/>
          <w:kern w:val="0"/>
          <w:szCs w:val="21"/>
        </w:rPr>
        <w:t>收集国内外相关的法律法规和技术标准，掌握国内外关于高质量数据集制作的案例、研究及相关标准研究成果，了解其发展趋势和动向。</w:t>
      </w:r>
    </w:p>
    <w:p w14:paraId="54832A61">
      <w:pPr>
        <w:pStyle w:val="3"/>
        <w:pageBreakBefore w:val="0"/>
        <w:widowControl w:val="0"/>
        <w:numPr>
          <w:ilvl w:val="0"/>
          <w:numId w:val="2"/>
        </w:numPr>
        <w:kinsoku/>
        <w:wordWrap/>
        <w:overflowPunct/>
        <w:topLinePunct w:val="0"/>
        <w:autoSpaceDE/>
        <w:autoSpaceDN/>
        <w:bidi w:val="0"/>
        <w:adjustRightInd/>
        <w:snapToGrid/>
        <w:spacing w:before="0" w:after="0" w:line="360" w:lineRule="auto"/>
        <w:ind w:firstLine="420" w:firstLineChars="200"/>
        <w:jc w:val="both"/>
        <w:textAlignment w:val="auto"/>
        <w:rPr>
          <w:b w:val="0"/>
          <w:bCs/>
          <w:sz w:val="21"/>
          <w:szCs w:val="21"/>
        </w:rPr>
      </w:pPr>
      <w:r>
        <w:rPr>
          <w:rFonts w:hint="eastAsia"/>
          <w:b w:val="0"/>
          <w:bCs/>
          <w:sz w:val="21"/>
          <w:szCs w:val="21"/>
        </w:rPr>
        <w:t>研讨确定标准主体内容</w:t>
      </w:r>
    </w:p>
    <w:p w14:paraId="5D1C09A6">
      <w:pPr>
        <w:pageBreakBefore w:val="0"/>
        <w:widowControl w:val="0"/>
        <w:kinsoku/>
        <w:wordWrap/>
        <w:overflowPunct/>
        <w:topLinePunct w:val="0"/>
        <w:autoSpaceDE/>
        <w:autoSpaceDN/>
        <w:bidi w:val="0"/>
        <w:adjustRightInd/>
        <w:snapToGrid/>
        <w:spacing w:line="360" w:lineRule="auto"/>
        <w:ind w:firstLine="416" w:firstLineChars="200"/>
        <w:jc w:val="both"/>
        <w:textAlignment w:val="auto"/>
        <w:rPr>
          <w:rFonts w:hint="eastAsia" w:ascii="宋体" w:hAnsi="宋体" w:eastAsia="宋体" w:cs="仿宋"/>
          <w:snapToGrid w:val="0"/>
          <w:color w:val="000000"/>
          <w:spacing w:val="-1"/>
          <w:kern w:val="0"/>
          <w:szCs w:val="21"/>
        </w:rPr>
      </w:pPr>
      <w:r>
        <w:rPr>
          <w:rFonts w:ascii="宋体" w:hAnsi="宋体" w:eastAsia="宋体" w:cs="仿宋"/>
          <w:snapToGrid w:val="0"/>
          <w:color w:val="000000"/>
          <w:spacing w:val="-1"/>
          <w:kern w:val="0"/>
          <w:szCs w:val="21"/>
        </w:rPr>
        <w:t>标准编制工作组在对收集的资料进行整理研究后，标准编制工作组召 开了标准编制会议，对标准的整体框架及标准的关键性问题进行初步研究 探讨。经过研究，标准的主体内容确定为质量评价指标、指标细则、指标说明方面内容。</w:t>
      </w:r>
    </w:p>
    <w:p w14:paraId="400480E1">
      <w:pPr>
        <w:pStyle w:val="3"/>
        <w:pageBreakBefore w:val="0"/>
        <w:widowControl w:val="0"/>
        <w:numPr>
          <w:ilvl w:val="0"/>
          <w:numId w:val="2"/>
        </w:numPr>
        <w:kinsoku/>
        <w:wordWrap/>
        <w:overflowPunct/>
        <w:topLinePunct w:val="0"/>
        <w:autoSpaceDE/>
        <w:autoSpaceDN/>
        <w:bidi w:val="0"/>
        <w:adjustRightInd/>
        <w:snapToGrid/>
        <w:spacing w:before="0" w:after="0" w:line="360" w:lineRule="auto"/>
        <w:ind w:firstLine="420" w:firstLineChars="200"/>
        <w:jc w:val="both"/>
        <w:textAlignment w:val="auto"/>
        <w:rPr>
          <w:b w:val="0"/>
          <w:bCs/>
          <w:sz w:val="21"/>
          <w:szCs w:val="21"/>
        </w:rPr>
      </w:pPr>
      <w:r>
        <w:rPr>
          <w:rFonts w:hint="eastAsia"/>
          <w:b w:val="0"/>
          <w:bCs/>
          <w:sz w:val="21"/>
          <w:szCs w:val="21"/>
        </w:rPr>
        <w:t>调研、形成文本草案、征求意见稿</w:t>
      </w:r>
    </w:p>
    <w:p w14:paraId="446772CE">
      <w:pPr>
        <w:pageBreakBefore w:val="0"/>
        <w:widowControl w:val="0"/>
        <w:kinsoku/>
        <w:wordWrap/>
        <w:overflowPunct/>
        <w:topLinePunct w:val="0"/>
        <w:autoSpaceDE/>
        <w:autoSpaceDN/>
        <w:bidi w:val="0"/>
        <w:adjustRightInd/>
        <w:snapToGrid/>
        <w:spacing w:line="360" w:lineRule="auto"/>
        <w:ind w:firstLine="416" w:firstLineChars="200"/>
        <w:jc w:val="both"/>
        <w:textAlignment w:val="auto"/>
        <w:rPr>
          <w:rFonts w:hint="eastAsia" w:ascii="宋体" w:hAnsi="宋体" w:eastAsia="宋体" w:cs="仿宋"/>
          <w:snapToGrid w:val="0"/>
          <w:color w:val="000000"/>
          <w:spacing w:val="-1"/>
          <w:kern w:val="0"/>
          <w:szCs w:val="21"/>
        </w:rPr>
      </w:pPr>
      <w:bookmarkStart w:id="5" w:name="_Hlk206062523"/>
      <w:r>
        <w:rPr>
          <w:rFonts w:hint="eastAsia" w:ascii="宋体" w:hAnsi="宋体" w:eastAsia="宋体" w:cs="仿宋"/>
          <w:snapToGrid w:val="0"/>
          <w:color w:val="000000"/>
          <w:spacing w:val="-1"/>
          <w:kern w:val="0"/>
          <w:szCs w:val="21"/>
        </w:rPr>
        <w:t>2024.</w:t>
      </w:r>
      <w:bookmarkStart w:id="6" w:name="OLE_LINK6"/>
      <w:r>
        <w:rPr>
          <w:rFonts w:hint="eastAsia" w:ascii="宋体" w:hAnsi="宋体" w:eastAsia="宋体" w:cs="仿宋"/>
          <w:snapToGrid w:val="0"/>
          <w:color w:val="000000"/>
          <w:spacing w:val="-1"/>
          <w:kern w:val="0"/>
          <w:szCs w:val="21"/>
        </w:rPr>
        <w:t>12～2025.0</w:t>
      </w:r>
      <w:bookmarkEnd w:id="6"/>
      <w:r>
        <w:rPr>
          <w:rFonts w:hint="eastAsia" w:ascii="宋体" w:hAnsi="宋体" w:eastAsia="宋体" w:cs="仿宋"/>
          <w:snapToGrid w:val="0"/>
          <w:color w:val="000000"/>
          <w:spacing w:val="-1"/>
          <w:kern w:val="0"/>
          <w:szCs w:val="21"/>
        </w:rPr>
        <w:t>6，</w:t>
      </w:r>
      <w:bookmarkEnd w:id="5"/>
      <w:r>
        <w:rPr>
          <w:rFonts w:ascii="宋体" w:hAnsi="宋体" w:eastAsia="宋体" w:cs="仿宋"/>
          <w:snapToGrid w:val="0"/>
          <w:color w:val="000000"/>
          <w:spacing w:val="-1"/>
          <w:kern w:val="0"/>
          <w:szCs w:val="21"/>
        </w:rPr>
        <w:t>标准起草工作小组进行了查阅了大量的国内外文献资料，对</w:t>
      </w:r>
      <w:r>
        <w:rPr>
          <w:rFonts w:hint="eastAsia" w:ascii="宋体" w:hAnsi="宋体" w:eastAsia="宋体" w:cs="仿宋"/>
          <w:snapToGrid w:val="0"/>
          <w:color w:val="000000"/>
          <w:spacing w:val="-1"/>
          <w:kern w:val="0"/>
          <w:szCs w:val="21"/>
        </w:rPr>
        <w:t>高质量数据集的定义及应用</w:t>
      </w:r>
      <w:r>
        <w:rPr>
          <w:rFonts w:ascii="宋体" w:hAnsi="宋体" w:eastAsia="宋体" w:cs="仿宋"/>
          <w:snapToGrid w:val="0"/>
          <w:color w:val="000000"/>
          <w:spacing w:val="-1"/>
          <w:kern w:val="0"/>
          <w:szCs w:val="21"/>
        </w:rPr>
        <w:t>进行系统总结。结合调研，理清逻辑脉络，借鉴已有的参考资料中有关</w:t>
      </w:r>
      <w:r>
        <w:rPr>
          <w:rFonts w:hint="eastAsia" w:ascii="宋体" w:hAnsi="宋体" w:eastAsia="宋体" w:cs="仿宋"/>
          <w:snapToGrid w:val="0"/>
          <w:color w:val="000000"/>
          <w:spacing w:val="-1"/>
          <w:kern w:val="0"/>
          <w:szCs w:val="21"/>
        </w:rPr>
        <w:t>高标准数据集</w:t>
      </w:r>
      <w:r>
        <w:rPr>
          <w:rFonts w:ascii="宋体" w:hAnsi="宋体" w:eastAsia="宋体" w:cs="仿宋"/>
          <w:snapToGrid w:val="0"/>
          <w:color w:val="000000"/>
          <w:spacing w:val="-1"/>
          <w:kern w:val="0"/>
          <w:szCs w:val="21"/>
        </w:rPr>
        <w:t>的内容，按照简化、统一等原则，经编制工作组反复讨论，形成了标准的基本构架，编制完成了团体标准《</w:t>
      </w:r>
      <w:bookmarkStart w:id="7" w:name="_Hlk206062796"/>
      <w:r>
        <w:rPr>
          <w:rFonts w:ascii="宋体" w:hAnsi="宋体" w:eastAsia="宋体" w:cs="仿宋"/>
          <w:snapToGrid w:val="0"/>
          <w:color w:val="000000"/>
          <w:spacing w:val="-1"/>
          <w:kern w:val="0"/>
          <w:szCs w:val="21"/>
        </w:rPr>
        <w:t>高质量数据集检验检测指标体系要求</w:t>
      </w:r>
      <w:bookmarkEnd w:id="7"/>
      <w:r>
        <w:rPr>
          <w:rFonts w:ascii="宋体" w:hAnsi="宋体" w:eastAsia="宋体" w:cs="仿宋"/>
          <w:snapToGrid w:val="0"/>
          <w:color w:val="000000"/>
          <w:spacing w:val="-1"/>
          <w:kern w:val="0"/>
          <w:szCs w:val="21"/>
        </w:rPr>
        <w:t>》（草案）。</w:t>
      </w:r>
    </w:p>
    <w:p w14:paraId="4CCAE0B1">
      <w:pPr>
        <w:pageBreakBefore w:val="0"/>
        <w:widowControl w:val="0"/>
        <w:kinsoku/>
        <w:wordWrap/>
        <w:overflowPunct/>
        <w:topLinePunct w:val="0"/>
        <w:autoSpaceDE/>
        <w:autoSpaceDN/>
        <w:bidi w:val="0"/>
        <w:adjustRightInd/>
        <w:snapToGrid/>
        <w:spacing w:line="360" w:lineRule="auto"/>
        <w:ind w:firstLine="416" w:firstLineChars="200"/>
        <w:jc w:val="both"/>
        <w:textAlignment w:val="auto"/>
        <w:rPr>
          <w:rFonts w:hint="eastAsia" w:ascii="宋体" w:hAnsi="宋体" w:eastAsia="宋体" w:cs="仿宋"/>
          <w:snapToGrid w:val="0"/>
          <w:color w:val="000000"/>
          <w:spacing w:val="-1"/>
          <w:kern w:val="0"/>
          <w:szCs w:val="21"/>
        </w:rPr>
      </w:pPr>
      <w:r>
        <w:rPr>
          <w:rFonts w:ascii="宋体" w:hAnsi="宋体" w:eastAsia="宋体" w:cs="仿宋"/>
          <w:snapToGrid w:val="0"/>
          <w:color w:val="000000"/>
          <w:spacing w:val="-1"/>
          <w:kern w:val="0"/>
          <w:szCs w:val="21"/>
        </w:rPr>
        <w:t>2025</w:t>
      </w:r>
      <w:r>
        <w:rPr>
          <w:rFonts w:hint="eastAsia" w:ascii="宋体" w:hAnsi="宋体" w:eastAsia="宋体" w:cs="仿宋"/>
          <w:snapToGrid w:val="0"/>
          <w:color w:val="000000"/>
          <w:spacing w:val="-1"/>
          <w:kern w:val="0"/>
          <w:szCs w:val="21"/>
        </w:rPr>
        <w:t>.0</w:t>
      </w:r>
      <w:bookmarkStart w:id="8" w:name="OLE_LINK7"/>
      <w:r>
        <w:rPr>
          <w:rFonts w:hint="eastAsia" w:ascii="宋体" w:hAnsi="宋体" w:eastAsia="宋体" w:cs="仿宋"/>
          <w:snapToGrid w:val="0"/>
          <w:color w:val="000000"/>
          <w:spacing w:val="-1"/>
          <w:kern w:val="0"/>
          <w:szCs w:val="21"/>
        </w:rPr>
        <w:t>6～</w:t>
      </w:r>
      <w:bookmarkEnd w:id="8"/>
      <w:r>
        <w:rPr>
          <w:rFonts w:hint="eastAsia" w:ascii="宋体" w:hAnsi="宋体" w:eastAsia="宋体" w:cs="仿宋"/>
          <w:snapToGrid w:val="0"/>
          <w:color w:val="000000"/>
          <w:spacing w:val="-1"/>
          <w:kern w:val="0"/>
          <w:szCs w:val="21"/>
        </w:rPr>
        <w:t>至今</w:t>
      </w:r>
      <w:r>
        <w:rPr>
          <w:rFonts w:ascii="宋体" w:hAnsi="宋体" w:eastAsia="宋体" w:cs="仿宋"/>
          <w:snapToGrid w:val="0"/>
          <w:color w:val="000000"/>
          <w:spacing w:val="-1"/>
          <w:kern w:val="0"/>
          <w:szCs w:val="21"/>
        </w:rPr>
        <w:t>，标准编制工作组邀请相关单位、企业代表等进行座谈讨论，根据意见进行多次讨论修改形成团体标准《高质量数据集检验检测指标体系要求》及编制说明。</w:t>
      </w:r>
    </w:p>
    <w:p w14:paraId="68C4D65D">
      <w:pPr>
        <w:pStyle w:val="2"/>
        <w:pageBreakBefore w:val="0"/>
        <w:widowControl w:val="0"/>
        <w:numPr>
          <w:ilvl w:val="0"/>
          <w:numId w:val="1"/>
        </w:numPr>
        <w:kinsoku/>
        <w:wordWrap/>
        <w:overflowPunct/>
        <w:topLinePunct w:val="0"/>
        <w:autoSpaceDE/>
        <w:autoSpaceDN/>
        <w:bidi w:val="0"/>
        <w:adjustRightInd/>
        <w:snapToGrid/>
        <w:spacing w:before="0" w:after="0" w:line="360" w:lineRule="auto"/>
        <w:ind w:firstLine="640" w:firstLineChars="200"/>
        <w:jc w:val="both"/>
        <w:textAlignment w:val="auto"/>
        <w:rPr>
          <w:rFonts w:hint="eastAsia" w:ascii="黑体" w:hAnsi="黑体" w:eastAsia="黑体" w:cs="黑体"/>
          <w:b w:val="0"/>
          <w:bCs/>
          <w:sz w:val="32"/>
          <w:szCs w:val="32"/>
        </w:rPr>
      </w:pPr>
      <w:r>
        <w:rPr>
          <w:rFonts w:hint="eastAsia" w:ascii="黑体" w:hAnsi="黑体" w:eastAsia="黑体" w:cs="黑体"/>
          <w:b w:val="0"/>
          <w:bCs/>
          <w:sz w:val="32"/>
          <w:szCs w:val="32"/>
        </w:rPr>
        <w:t>标准制定的原则</w:t>
      </w:r>
    </w:p>
    <w:p w14:paraId="53C46D78">
      <w:pPr>
        <w:pStyle w:val="4"/>
        <w:pageBreakBefore w:val="0"/>
        <w:widowControl w:val="0"/>
        <w:numPr>
          <w:ilvl w:val="0"/>
          <w:numId w:val="3"/>
        </w:numPr>
        <w:kinsoku/>
        <w:wordWrap/>
        <w:overflowPunct/>
        <w:topLinePunct w:val="0"/>
        <w:autoSpaceDE/>
        <w:autoSpaceDN/>
        <w:bidi w:val="0"/>
        <w:adjustRightInd/>
        <w:snapToGrid/>
        <w:spacing w:line="216" w:lineRule="auto"/>
        <w:ind w:firstLine="600" w:firstLineChars="200"/>
        <w:jc w:val="both"/>
        <w:textAlignment w:val="auto"/>
        <w:outlineLvl w:val="1"/>
        <w:rPr>
          <w:rFonts w:ascii="Arial" w:hAnsi="Arial" w:eastAsia="黑体" w:cstheme="minorBidi"/>
          <w:bCs/>
          <w:sz w:val="30"/>
          <w:szCs w:val="30"/>
          <w:lang w:eastAsia="zh-CN"/>
        </w:rPr>
      </w:pPr>
      <w:r>
        <w:rPr>
          <w:rFonts w:hint="eastAsia" w:ascii="Arial" w:hAnsi="Arial" w:eastAsia="黑体" w:cstheme="minorBidi"/>
          <w:bCs/>
          <w:sz w:val="30"/>
          <w:szCs w:val="30"/>
          <w:lang w:eastAsia="zh-CN"/>
        </w:rPr>
        <w:t>实用性原则</w:t>
      </w:r>
    </w:p>
    <w:p w14:paraId="76640AA9">
      <w:pPr>
        <w:pageBreakBefore w:val="0"/>
        <w:widowControl w:val="0"/>
        <w:kinsoku/>
        <w:wordWrap/>
        <w:overflowPunct/>
        <w:topLinePunct w:val="0"/>
        <w:autoSpaceDE/>
        <w:autoSpaceDN/>
        <w:bidi w:val="0"/>
        <w:adjustRightInd/>
        <w:snapToGrid/>
        <w:spacing w:line="360" w:lineRule="auto"/>
        <w:ind w:firstLine="416" w:firstLineChars="200"/>
        <w:jc w:val="both"/>
        <w:textAlignment w:val="auto"/>
        <w:rPr>
          <w:rFonts w:hint="eastAsia" w:ascii="宋体" w:hAnsi="宋体" w:eastAsia="宋体" w:cs="仿宋"/>
          <w:snapToGrid w:val="0"/>
          <w:color w:val="000000"/>
          <w:spacing w:val="-1"/>
          <w:kern w:val="0"/>
          <w:szCs w:val="21"/>
        </w:rPr>
      </w:pPr>
      <w:bookmarkStart w:id="9" w:name="_Hlk206062588"/>
      <w:r>
        <w:rPr>
          <w:rFonts w:hint="eastAsia" w:ascii="宋体" w:hAnsi="宋体" w:eastAsia="宋体" w:cs="仿宋"/>
          <w:snapToGrid w:val="0"/>
          <w:color w:val="000000"/>
          <w:spacing w:val="-1"/>
          <w:kern w:val="0"/>
          <w:szCs w:val="21"/>
        </w:rPr>
        <w:t>本标准在编制过程中就注重指标体系的实用性和可操作性，一方面是充分吸取《中共中央 国务院关于构建数据基础制度更好发挥数据要素作用的意见》、《“数据要素×”三年行动计划（2024—2026年）》等政策文件精神，以政策文件指导具体实践，另一方面是充分收集相关资料和文献，调研分析数据术语和数据质量评价的标准规范，将实用性强、可用性高的指标纳入到指标体系框架中；最后是吸收编制单位中检集团天帷信息技术股份有限公司、中国检验认证集团测试技术有限公司、</w:t>
      </w:r>
      <w:r>
        <w:rPr>
          <w:rFonts w:ascii="宋体" w:hAnsi="宋体" w:eastAsia="宋体" w:cs="仿宋"/>
          <w:snapToGrid w:val="0"/>
          <w:color w:val="000000"/>
          <w:spacing w:val="-1"/>
          <w:kern w:val="0"/>
          <w:szCs w:val="21"/>
        </w:rPr>
        <w:t>广东颐点科技有限公司</w:t>
      </w:r>
      <w:r>
        <w:rPr>
          <w:rFonts w:hint="eastAsia" w:ascii="宋体" w:hAnsi="宋体" w:eastAsia="宋体" w:cs="仿宋"/>
          <w:snapToGrid w:val="0"/>
          <w:color w:val="000000"/>
          <w:spacing w:val="-1"/>
          <w:kern w:val="0"/>
          <w:szCs w:val="21"/>
        </w:rPr>
        <w:t>、安徽飞数信息科技有限公司等多家单位的案例实例，将实践经验纳入到指标体系构建中。</w:t>
      </w:r>
    </w:p>
    <w:bookmarkEnd w:id="9"/>
    <w:p w14:paraId="3BCAE717">
      <w:pPr>
        <w:pStyle w:val="4"/>
        <w:pageBreakBefore w:val="0"/>
        <w:widowControl w:val="0"/>
        <w:numPr>
          <w:ilvl w:val="0"/>
          <w:numId w:val="3"/>
        </w:numPr>
        <w:kinsoku/>
        <w:wordWrap/>
        <w:overflowPunct/>
        <w:topLinePunct w:val="0"/>
        <w:autoSpaceDE/>
        <w:autoSpaceDN/>
        <w:bidi w:val="0"/>
        <w:adjustRightInd/>
        <w:snapToGrid/>
        <w:spacing w:before="1" w:line="216" w:lineRule="auto"/>
        <w:ind w:firstLine="420" w:firstLineChars="200"/>
        <w:jc w:val="both"/>
        <w:textAlignment w:val="auto"/>
        <w:outlineLvl w:val="1"/>
        <w:rPr>
          <w:rFonts w:ascii="Arial" w:hAnsi="Arial" w:eastAsia="黑体" w:cstheme="minorBidi"/>
          <w:bCs/>
          <w:sz w:val="21"/>
          <w:szCs w:val="21"/>
          <w:lang w:eastAsia="zh-CN"/>
        </w:rPr>
      </w:pPr>
      <w:r>
        <w:rPr>
          <w:rFonts w:hint="eastAsia" w:ascii="Arial" w:hAnsi="Arial" w:eastAsia="黑体" w:cstheme="minorBidi"/>
          <w:bCs/>
          <w:sz w:val="21"/>
          <w:szCs w:val="21"/>
          <w:lang w:eastAsia="zh-CN"/>
        </w:rPr>
        <w:t>协调性原则</w:t>
      </w:r>
    </w:p>
    <w:p w14:paraId="58A0CC46">
      <w:pPr>
        <w:pageBreakBefore w:val="0"/>
        <w:widowControl w:val="0"/>
        <w:kinsoku/>
        <w:wordWrap/>
        <w:overflowPunct/>
        <w:topLinePunct w:val="0"/>
        <w:autoSpaceDE/>
        <w:autoSpaceDN/>
        <w:bidi w:val="0"/>
        <w:adjustRightInd/>
        <w:snapToGrid/>
        <w:spacing w:line="360" w:lineRule="auto"/>
        <w:ind w:firstLine="416" w:firstLineChars="200"/>
        <w:jc w:val="both"/>
        <w:textAlignment w:val="auto"/>
        <w:rPr>
          <w:rFonts w:hint="eastAsia" w:ascii="宋体" w:hAnsi="宋体" w:eastAsia="宋体" w:cs="仿宋"/>
          <w:snapToGrid w:val="0"/>
          <w:color w:val="000000"/>
          <w:spacing w:val="-1"/>
          <w:kern w:val="0"/>
          <w:szCs w:val="21"/>
        </w:rPr>
      </w:pPr>
      <w:r>
        <w:rPr>
          <w:rFonts w:hint="eastAsia" w:ascii="宋体" w:hAnsi="宋体" w:eastAsia="宋体" w:cs="仿宋"/>
          <w:snapToGrid w:val="0"/>
          <w:color w:val="000000"/>
          <w:spacing w:val="-1"/>
          <w:kern w:val="0"/>
          <w:szCs w:val="21"/>
        </w:rPr>
        <w:t>本标准编写过程中注意与个人信息保护、数据安全保护相关法律法规的协调问题，在内容上与现行法律法规、标准协调一致。例如术语“数据集”、“数据质量”、“高质量数据集”均为继承现有国家标准或权威文件定义。</w:t>
      </w:r>
    </w:p>
    <w:p w14:paraId="20096B47">
      <w:pPr>
        <w:pStyle w:val="4"/>
        <w:pageBreakBefore w:val="0"/>
        <w:widowControl w:val="0"/>
        <w:numPr>
          <w:ilvl w:val="0"/>
          <w:numId w:val="3"/>
        </w:numPr>
        <w:kinsoku/>
        <w:wordWrap/>
        <w:overflowPunct/>
        <w:topLinePunct w:val="0"/>
        <w:autoSpaceDE/>
        <w:autoSpaceDN/>
        <w:bidi w:val="0"/>
        <w:adjustRightInd/>
        <w:snapToGrid/>
        <w:spacing w:line="360" w:lineRule="auto"/>
        <w:ind w:firstLine="420" w:firstLineChars="200"/>
        <w:jc w:val="both"/>
        <w:textAlignment w:val="auto"/>
        <w:outlineLvl w:val="1"/>
        <w:rPr>
          <w:rFonts w:ascii="Arial" w:hAnsi="Arial" w:eastAsia="黑体" w:cstheme="minorBidi"/>
          <w:bCs/>
          <w:sz w:val="21"/>
          <w:szCs w:val="21"/>
          <w:lang w:eastAsia="zh-CN"/>
        </w:rPr>
      </w:pPr>
      <w:r>
        <w:rPr>
          <w:rFonts w:hint="eastAsia" w:ascii="Arial" w:hAnsi="Arial" w:eastAsia="黑体" w:cstheme="minorBidi"/>
          <w:bCs/>
          <w:sz w:val="21"/>
          <w:szCs w:val="21"/>
          <w:lang w:eastAsia="zh-CN"/>
        </w:rPr>
        <w:t>规范性原则</w:t>
      </w:r>
    </w:p>
    <w:p w14:paraId="2FDB4337">
      <w:pPr>
        <w:pageBreakBefore w:val="0"/>
        <w:widowControl w:val="0"/>
        <w:kinsoku/>
        <w:wordWrap/>
        <w:overflowPunct/>
        <w:topLinePunct w:val="0"/>
        <w:autoSpaceDE/>
        <w:autoSpaceDN/>
        <w:bidi w:val="0"/>
        <w:adjustRightInd/>
        <w:snapToGrid/>
        <w:spacing w:line="360" w:lineRule="auto"/>
        <w:ind w:firstLine="416" w:firstLineChars="200"/>
        <w:jc w:val="both"/>
        <w:textAlignment w:val="auto"/>
        <w:rPr>
          <w:rFonts w:hint="eastAsia" w:ascii="宋体" w:hAnsi="宋体" w:eastAsia="宋体" w:cs="仿宋"/>
          <w:snapToGrid w:val="0"/>
          <w:color w:val="000000"/>
          <w:spacing w:val="-1"/>
          <w:kern w:val="0"/>
          <w:szCs w:val="21"/>
        </w:rPr>
      </w:pPr>
      <w:r>
        <w:rPr>
          <w:rFonts w:hint="eastAsia" w:ascii="宋体" w:hAnsi="宋体" w:eastAsia="宋体" w:cs="仿宋"/>
          <w:snapToGrid w:val="0"/>
          <w:color w:val="000000"/>
          <w:spacing w:val="-1"/>
          <w:kern w:val="0"/>
          <w:szCs w:val="21"/>
        </w:rPr>
        <w:t>本标准编制是严格按照 GB/T 1.1—2020《标准化工作导则  第 1 部分：标准 化文件的结构和起草规则》的要求和规定，保证标准的编写质量。</w:t>
      </w:r>
    </w:p>
    <w:p w14:paraId="171F18B9">
      <w:pPr>
        <w:pStyle w:val="2"/>
        <w:pageBreakBefore w:val="0"/>
        <w:widowControl w:val="0"/>
        <w:numPr>
          <w:ilvl w:val="0"/>
          <w:numId w:val="1"/>
        </w:numPr>
        <w:kinsoku/>
        <w:wordWrap/>
        <w:overflowPunct/>
        <w:topLinePunct w:val="0"/>
        <w:autoSpaceDE/>
        <w:autoSpaceDN/>
        <w:bidi w:val="0"/>
        <w:adjustRightInd/>
        <w:snapToGrid/>
        <w:spacing w:before="0" w:after="0" w:line="360" w:lineRule="auto"/>
        <w:ind w:firstLine="420" w:firstLineChars="200"/>
        <w:jc w:val="both"/>
        <w:textAlignment w:val="auto"/>
        <w:rPr>
          <w:rFonts w:hint="eastAsia" w:ascii="黑体" w:hAnsi="黑体" w:eastAsia="黑体" w:cs="黑体"/>
          <w:b w:val="0"/>
          <w:bCs/>
          <w:sz w:val="21"/>
          <w:szCs w:val="21"/>
        </w:rPr>
      </w:pPr>
      <w:r>
        <w:rPr>
          <w:rFonts w:hint="eastAsia" w:ascii="黑体" w:hAnsi="黑体" w:eastAsia="黑体" w:cs="黑体"/>
          <w:b w:val="0"/>
          <w:bCs/>
          <w:sz w:val="21"/>
          <w:szCs w:val="21"/>
        </w:rPr>
        <w:t>标准主要内容及依据来源</w:t>
      </w:r>
    </w:p>
    <w:p w14:paraId="7E140E8F">
      <w:pPr>
        <w:pStyle w:val="4"/>
        <w:pageBreakBefore w:val="0"/>
        <w:widowControl w:val="0"/>
        <w:numPr>
          <w:ilvl w:val="0"/>
          <w:numId w:val="4"/>
        </w:numPr>
        <w:kinsoku/>
        <w:wordWrap/>
        <w:overflowPunct/>
        <w:topLinePunct w:val="0"/>
        <w:autoSpaceDE/>
        <w:autoSpaceDN/>
        <w:bidi w:val="0"/>
        <w:adjustRightInd/>
        <w:snapToGrid/>
        <w:spacing w:before="1" w:line="216" w:lineRule="auto"/>
        <w:ind w:firstLine="420" w:firstLineChars="200"/>
        <w:jc w:val="both"/>
        <w:textAlignment w:val="auto"/>
        <w:outlineLvl w:val="1"/>
        <w:rPr>
          <w:rFonts w:ascii="Arial" w:hAnsi="Arial" w:eastAsia="黑体" w:cstheme="minorBidi"/>
          <w:bCs/>
          <w:sz w:val="21"/>
          <w:szCs w:val="21"/>
          <w:lang w:eastAsia="zh-CN"/>
        </w:rPr>
      </w:pPr>
      <w:r>
        <w:rPr>
          <w:rFonts w:hint="eastAsia" w:ascii="Arial" w:hAnsi="Arial" w:eastAsia="黑体" w:cstheme="minorBidi"/>
          <w:bCs/>
          <w:sz w:val="21"/>
          <w:szCs w:val="21"/>
          <w:lang w:eastAsia="zh-CN"/>
        </w:rPr>
        <w:t>主要内容</w:t>
      </w:r>
    </w:p>
    <w:p w14:paraId="6BA83914">
      <w:pPr>
        <w:pageBreakBefore w:val="0"/>
        <w:widowControl w:val="0"/>
        <w:kinsoku/>
        <w:wordWrap/>
        <w:overflowPunct/>
        <w:topLinePunct w:val="0"/>
        <w:autoSpaceDE/>
        <w:autoSpaceDN/>
        <w:bidi w:val="0"/>
        <w:adjustRightInd/>
        <w:snapToGrid/>
        <w:spacing w:line="360" w:lineRule="auto"/>
        <w:ind w:firstLine="416" w:firstLineChars="200"/>
        <w:jc w:val="both"/>
        <w:textAlignment w:val="auto"/>
        <w:rPr>
          <w:rFonts w:hint="eastAsia" w:ascii="宋体" w:hAnsi="宋体" w:eastAsia="宋体" w:cs="仿宋"/>
          <w:snapToGrid w:val="0"/>
          <w:color w:val="000000"/>
          <w:spacing w:val="-1"/>
          <w:kern w:val="0"/>
          <w:szCs w:val="21"/>
        </w:rPr>
      </w:pPr>
      <w:r>
        <w:rPr>
          <w:rFonts w:hint="eastAsia" w:ascii="宋体" w:hAnsi="宋体" w:eastAsia="宋体" w:cs="仿宋"/>
          <w:snapToGrid w:val="0"/>
          <w:color w:val="000000"/>
          <w:spacing w:val="-1"/>
          <w:kern w:val="0"/>
          <w:szCs w:val="21"/>
        </w:rPr>
        <w:t>本文件规定了构建高质量数据集的指标体系框架，明确了质量评价的详细指标，给出了指标细则和指标说明。其中：</w:t>
      </w:r>
    </w:p>
    <w:p w14:paraId="0947A774">
      <w:pPr>
        <w:pageBreakBefore w:val="0"/>
        <w:widowControl w:val="0"/>
        <w:kinsoku/>
        <w:wordWrap/>
        <w:overflowPunct/>
        <w:topLinePunct w:val="0"/>
        <w:autoSpaceDE/>
        <w:autoSpaceDN/>
        <w:bidi w:val="0"/>
        <w:adjustRightInd/>
        <w:snapToGrid/>
        <w:spacing w:line="360" w:lineRule="auto"/>
        <w:ind w:firstLine="416" w:firstLineChars="200"/>
        <w:jc w:val="both"/>
        <w:textAlignment w:val="auto"/>
        <w:rPr>
          <w:rFonts w:hint="eastAsia" w:ascii="宋体" w:hAnsi="宋体" w:eastAsia="宋体" w:cs="仿宋"/>
          <w:snapToGrid w:val="0"/>
          <w:color w:val="000000"/>
          <w:spacing w:val="-1"/>
          <w:kern w:val="0"/>
          <w:szCs w:val="21"/>
        </w:rPr>
      </w:pPr>
      <w:r>
        <w:rPr>
          <w:rFonts w:hint="eastAsia" w:ascii="宋体" w:hAnsi="宋体" w:eastAsia="宋体" w:cs="仿宋"/>
          <w:snapToGrid w:val="0"/>
          <w:color w:val="000000"/>
          <w:spacing w:val="-1"/>
          <w:kern w:val="0"/>
          <w:szCs w:val="21"/>
        </w:rPr>
        <w:t>高质量数据集的指标体系框架，构建了一套完整的检测检测指标体系，它明确定义了高质量数据集及其细分类型（如通识、行业通识、行业专识）和模态（如文本、图像、多模态），并系统性地给出14个一级检验检测指标的概念内涵，主要是完整性、及时性、准确性、一致性、唯一性、有效性、规范性、均衡性、相关性、原创性、稠密性、多样性、可访问性、可溯源性；同时给出35个二级指标的概念内涵，主要是属性完整性、规模完整性等。</w:t>
      </w:r>
    </w:p>
    <w:p w14:paraId="15AFA610">
      <w:pPr>
        <w:pageBreakBefore w:val="0"/>
        <w:widowControl w:val="0"/>
        <w:kinsoku/>
        <w:wordWrap/>
        <w:overflowPunct/>
        <w:topLinePunct w:val="0"/>
        <w:autoSpaceDE/>
        <w:autoSpaceDN/>
        <w:bidi w:val="0"/>
        <w:adjustRightInd/>
        <w:snapToGrid/>
        <w:spacing w:line="360" w:lineRule="auto"/>
        <w:ind w:firstLine="416" w:firstLineChars="200"/>
        <w:jc w:val="both"/>
        <w:textAlignment w:val="auto"/>
        <w:rPr>
          <w:rFonts w:hint="eastAsia" w:ascii="宋体" w:hAnsi="宋体" w:eastAsia="宋体" w:cs="仿宋"/>
          <w:snapToGrid w:val="0"/>
          <w:color w:val="000000"/>
          <w:spacing w:val="-1"/>
          <w:kern w:val="0"/>
          <w:szCs w:val="21"/>
        </w:rPr>
      </w:pPr>
      <w:r>
        <w:rPr>
          <w:rFonts w:hint="eastAsia" w:ascii="宋体" w:hAnsi="宋体" w:eastAsia="宋体" w:cs="仿宋"/>
          <w:snapToGrid w:val="0"/>
          <w:color w:val="000000"/>
          <w:spacing w:val="-1"/>
          <w:kern w:val="0"/>
          <w:szCs w:val="21"/>
        </w:rPr>
        <w:t>该标准旨在指导组织机构科学评估数据集质量。其关键应用价值在于提供了针对不同数据模态（文本/图像/音频/视频/多模态）、数据集应用场景（通识/行业通识/行业专识数据集）、不同AI模型训练阶段（预训练/微调/强化学习/适配）的具体指标选用指南（见附录A、B、C），确保数据集能满足特定人工智能开发和训练的需求，从而提升数据供给质量，促进流通与应用。</w:t>
      </w:r>
    </w:p>
    <w:p w14:paraId="175FBF04">
      <w:pPr>
        <w:pStyle w:val="4"/>
        <w:pageBreakBefore w:val="0"/>
        <w:widowControl w:val="0"/>
        <w:numPr>
          <w:ilvl w:val="0"/>
          <w:numId w:val="4"/>
        </w:numPr>
        <w:kinsoku/>
        <w:wordWrap/>
        <w:overflowPunct/>
        <w:topLinePunct w:val="0"/>
        <w:autoSpaceDE/>
        <w:autoSpaceDN/>
        <w:bidi w:val="0"/>
        <w:adjustRightInd/>
        <w:snapToGrid/>
        <w:spacing w:before="1" w:line="216" w:lineRule="auto"/>
        <w:ind w:firstLine="420" w:firstLineChars="200"/>
        <w:jc w:val="both"/>
        <w:textAlignment w:val="auto"/>
        <w:outlineLvl w:val="1"/>
        <w:rPr>
          <w:rFonts w:ascii="Arial" w:hAnsi="Arial" w:eastAsia="黑体" w:cstheme="minorBidi"/>
          <w:bCs/>
          <w:sz w:val="21"/>
          <w:szCs w:val="21"/>
          <w:lang w:eastAsia="zh-CN"/>
        </w:rPr>
      </w:pPr>
      <w:r>
        <w:rPr>
          <w:rFonts w:hint="eastAsia" w:ascii="Arial" w:hAnsi="Arial" w:eastAsia="黑体" w:cstheme="minorBidi"/>
          <w:bCs/>
          <w:sz w:val="21"/>
          <w:szCs w:val="21"/>
          <w:lang w:eastAsia="zh-CN"/>
        </w:rPr>
        <w:t>依据来源</w:t>
      </w:r>
    </w:p>
    <w:p w14:paraId="1FC5D453">
      <w:pPr>
        <w:pageBreakBefore w:val="0"/>
        <w:widowControl w:val="0"/>
        <w:kinsoku/>
        <w:wordWrap/>
        <w:overflowPunct/>
        <w:topLinePunct w:val="0"/>
        <w:autoSpaceDE/>
        <w:autoSpaceDN/>
        <w:bidi w:val="0"/>
        <w:adjustRightInd/>
        <w:snapToGrid/>
        <w:spacing w:line="360" w:lineRule="auto"/>
        <w:ind w:firstLine="416" w:firstLineChars="200"/>
        <w:jc w:val="both"/>
        <w:textAlignment w:val="auto"/>
        <w:rPr>
          <w:rFonts w:hint="eastAsia" w:ascii="宋体" w:hAnsi="宋体" w:eastAsia="宋体" w:cs="仿宋"/>
          <w:snapToGrid w:val="0"/>
          <w:color w:val="000000"/>
          <w:spacing w:val="-1"/>
          <w:kern w:val="0"/>
          <w:szCs w:val="21"/>
        </w:rPr>
      </w:pPr>
      <w:r>
        <w:rPr>
          <w:rFonts w:hint="eastAsia" w:ascii="宋体" w:hAnsi="宋体" w:eastAsia="宋体" w:cs="仿宋"/>
          <w:snapToGrid w:val="0"/>
          <w:color w:val="000000"/>
          <w:spacing w:val="-1"/>
          <w:kern w:val="0"/>
          <w:szCs w:val="21"/>
        </w:rPr>
        <w:t>本团体标准中所构建的高质量数据集检验检测指标体系，列出的具体指标，一方面是继承传统数据质量“六性”指标的范围，另一方面是增加面向人工智能应用的指标，新增多样性、可访问性、可溯源性等指标，将数据领域分布的多样性、数据来源的真实性、数据内容的规范性的纳入到数据集质量检验检测指标体系中。这些指标的提出，主要是通过市场调研和竞争分析等，通过了解技术发展趋势和法规要求，吸收其他单位专家所提出的意见建议，进而制定提出符合需求的检验检测指标，确保检验检测指标贴近市场实际，满足可操作性、可用性。</w:t>
      </w:r>
    </w:p>
    <w:p w14:paraId="510DB70F">
      <w:pPr>
        <w:pStyle w:val="2"/>
        <w:pageBreakBefore w:val="0"/>
        <w:widowControl w:val="0"/>
        <w:numPr>
          <w:ilvl w:val="0"/>
          <w:numId w:val="1"/>
        </w:numPr>
        <w:kinsoku/>
        <w:wordWrap/>
        <w:overflowPunct/>
        <w:topLinePunct w:val="0"/>
        <w:autoSpaceDE/>
        <w:autoSpaceDN/>
        <w:bidi w:val="0"/>
        <w:adjustRightInd/>
        <w:snapToGrid/>
        <w:spacing w:before="0" w:after="0" w:line="360" w:lineRule="auto"/>
        <w:ind w:firstLine="420" w:firstLineChars="200"/>
        <w:jc w:val="both"/>
        <w:textAlignment w:val="auto"/>
        <w:rPr>
          <w:rFonts w:hint="eastAsia" w:ascii="黑体" w:hAnsi="黑体" w:eastAsia="黑体" w:cs="黑体"/>
          <w:b w:val="0"/>
          <w:bCs/>
          <w:sz w:val="21"/>
          <w:szCs w:val="21"/>
        </w:rPr>
      </w:pPr>
      <w:r>
        <w:rPr>
          <w:rFonts w:hint="eastAsia" w:ascii="黑体" w:hAnsi="黑体" w:eastAsia="黑体" w:cs="黑体"/>
          <w:b w:val="0"/>
          <w:bCs/>
          <w:sz w:val="21"/>
          <w:szCs w:val="21"/>
        </w:rPr>
        <w:t>引进相关的国家标准、地方标准和相关资料</w:t>
      </w:r>
    </w:p>
    <w:p w14:paraId="7B9F4DA7">
      <w:pPr>
        <w:pageBreakBefore w:val="0"/>
        <w:widowControl w:val="0"/>
        <w:kinsoku/>
        <w:wordWrap/>
        <w:overflowPunct/>
        <w:topLinePunct w:val="0"/>
        <w:autoSpaceDE/>
        <w:autoSpaceDN/>
        <w:bidi w:val="0"/>
        <w:adjustRightInd/>
        <w:snapToGrid/>
        <w:spacing w:line="360" w:lineRule="auto"/>
        <w:ind w:firstLine="416" w:firstLineChars="200"/>
        <w:jc w:val="both"/>
        <w:textAlignment w:val="auto"/>
        <w:rPr>
          <w:rFonts w:ascii="宋体" w:hAnsi="宋体" w:eastAsia="宋体" w:cs="仿宋"/>
          <w:snapToGrid w:val="0"/>
          <w:color w:val="000000"/>
          <w:spacing w:val="-1"/>
          <w:kern w:val="0"/>
          <w:szCs w:val="21"/>
        </w:rPr>
      </w:pPr>
      <w:r>
        <w:rPr>
          <w:rFonts w:hint="eastAsia" w:ascii="宋体" w:hAnsi="宋体" w:eastAsia="宋体" w:cs="仿宋"/>
          <w:snapToGrid w:val="0"/>
          <w:color w:val="000000"/>
          <w:spacing w:val="-1"/>
          <w:kern w:val="0"/>
          <w:szCs w:val="21"/>
        </w:rPr>
        <w:t>本标准的修改编写格式根据GB/T 1.1-2020《标准化工作导则  第1部 分：标准化文件的结构和起草规则》的规定，内容和要求参考了相关法律法规，本文件规范性引用文件具体如下所示：</w:t>
      </w:r>
    </w:p>
    <w:p w14:paraId="13BD994D">
      <w:pPr>
        <w:pageBreakBefore w:val="0"/>
        <w:widowControl w:val="0"/>
        <w:kinsoku/>
        <w:wordWrap/>
        <w:overflowPunct/>
        <w:topLinePunct w:val="0"/>
        <w:autoSpaceDE/>
        <w:autoSpaceDN/>
        <w:bidi w:val="0"/>
        <w:adjustRightInd/>
        <w:snapToGrid/>
        <w:spacing w:line="360" w:lineRule="auto"/>
        <w:ind w:firstLine="416" w:firstLineChars="200"/>
        <w:jc w:val="both"/>
        <w:textAlignment w:val="auto"/>
        <w:rPr>
          <w:rFonts w:hint="eastAsia" w:ascii="宋体" w:hAnsi="宋体" w:eastAsia="宋体" w:cs="仿宋"/>
          <w:snapToGrid w:val="0"/>
          <w:color w:val="000000"/>
          <w:spacing w:val="-1"/>
          <w:kern w:val="0"/>
          <w:szCs w:val="21"/>
        </w:rPr>
      </w:pPr>
      <w:r>
        <w:rPr>
          <w:rFonts w:hint="eastAsia" w:ascii="宋体" w:hAnsi="宋体" w:eastAsia="宋体" w:cs="仿宋"/>
          <w:snapToGrid w:val="0"/>
          <w:color w:val="000000"/>
          <w:spacing w:val="-1"/>
          <w:kern w:val="0"/>
          <w:szCs w:val="21"/>
        </w:rPr>
        <w:t>GB/T 35295-2017</w:t>
      </w:r>
      <w:r>
        <w:rPr>
          <w:rFonts w:hint="eastAsia" w:ascii="宋体" w:hAnsi="宋体" w:eastAsia="宋体" w:cs="仿宋"/>
          <w:snapToGrid w:val="0"/>
          <w:color w:val="000000"/>
          <w:spacing w:val="-1"/>
          <w:kern w:val="0"/>
          <w:szCs w:val="21"/>
        </w:rPr>
        <w:tab/>
      </w:r>
      <w:r>
        <w:rPr>
          <w:rFonts w:hint="eastAsia" w:ascii="宋体" w:hAnsi="宋体" w:eastAsia="宋体" w:cs="仿宋"/>
          <w:snapToGrid w:val="0"/>
          <w:color w:val="000000"/>
          <w:spacing w:val="-1"/>
          <w:kern w:val="0"/>
          <w:szCs w:val="21"/>
        </w:rPr>
        <w:t>信息技术  大数据 术语</w:t>
      </w:r>
    </w:p>
    <w:p w14:paraId="6BAEE315">
      <w:pPr>
        <w:pageBreakBefore w:val="0"/>
        <w:widowControl w:val="0"/>
        <w:kinsoku/>
        <w:wordWrap/>
        <w:overflowPunct/>
        <w:topLinePunct w:val="0"/>
        <w:autoSpaceDE/>
        <w:autoSpaceDN/>
        <w:bidi w:val="0"/>
        <w:adjustRightInd/>
        <w:snapToGrid/>
        <w:spacing w:line="360" w:lineRule="auto"/>
        <w:ind w:firstLine="416" w:firstLineChars="200"/>
        <w:jc w:val="both"/>
        <w:textAlignment w:val="auto"/>
        <w:rPr>
          <w:rFonts w:hint="eastAsia" w:ascii="宋体" w:hAnsi="宋体" w:eastAsia="宋体" w:cs="仿宋"/>
          <w:snapToGrid w:val="0"/>
          <w:color w:val="000000"/>
          <w:spacing w:val="-1"/>
          <w:kern w:val="0"/>
          <w:szCs w:val="21"/>
        </w:rPr>
      </w:pPr>
      <w:r>
        <w:rPr>
          <w:rFonts w:hint="eastAsia" w:ascii="宋体" w:hAnsi="宋体" w:eastAsia="宋体" w:cs="仿宋"/>
          <w:snapToGrid w:val="0"/>
          <w:color w:val="000000"/>
          <w:spacing w:val="-1"/>
          <w:kern w:val="0"/>
          <w:szCs w:val="21"/>
        </w:rPr>
        <w:t>GB/T 36344-2018</w:t>
      </w:r>
      <w:r>
        <w:rPr>
          <w:rFonts w:hint="eastAsia" w:ascii="宋体" w:hAnsi="宋体" w:eastAsia="宋体" w:cs="仿宋"/>
          <w:snapToGrid w:val="0"/>
          <w:color w:val="000000"/>
          <w:spacing w:val="-1"/>
          <w:kern w:val="0"/>
          <w:szCs w:val="21"/>
        </w:rPr>
        <w:tab/>
      </w:r>
      <w:r>
        <w:rPr>
          <w:rFonts w:hint="eastAsia" w:ascii="宋体" w:hAnsi="宋体" w:eastAsia="宋体" w:cs="仿宋"/>
          <w:snapToGrid w:val="0"/>
          <w:color w:val="000000"/>
          <w:spacing w:val="-1"/>
          <w:kern w:val="0"/>
          <w:szCs w:val="21"/>
        </w:rPr>
        <w:t>信息技术数据质量评价指标</w:t>
      </w:r>
    </w:p>
    <w:p w14:paraId="2F4A7ABD">
      <w:pPr>
        <w:pageBreakBefore w:val="0"/>
        <w:widowControl w:val="0"/>
        <w:kinsoku/>
        <w:wordWrap/>
        <w:overflowPunct/>
        <w:topLinePunct w:val="0"/>
        <w:autoSpaceDE/>
        <w:autoSpaceDN/>
        <w:bidi w:val="0"/>
        <w:adjustRightInd/>
        <w:snapToGrid/>
        <w:spacing w:line="360" w:lineRule="auto"/>
        <w:ind w:firstLine="416" w:firstLineChars="200"/>
        <w:jc w:val="both"/>
        <w:textAlignment w:val="auto"/>
        <w:rPr>
          <w:rFonts w:hint="eastAsia" w:ascii="宋体" w:hAnsi="宋体" w:eastAsia="宋体" w:cs="仿宋"/>
          <w:snapToGrid w:val="0"/>
          <w:color w:val="000000"/>
          <w:spacing w:val="-1"/>
          <w:kern w:val="0"/>
          <w:szCs w:val="21"/>
        </w:rPr>
      </w:pPr>
      <w:r>
        <w:rPr>
          <w:rFonts w:hint="eastAsia" w:ascii="宋体" w:hAnsi="宋体" w:eastAsia="宋体" w:cs="仿宋"/>
          <w:snapToGrid w:val="0"/>
          <w:color w:val="000000"/>
          <w:spacing w:val="-1"/>
          <w:kern w:val="0"/>
          <w:szCs w:val="21"/>
        </w:rPr>
        <w:t>GB/T33850-2017</w:t>
      </w:r>
      <w:r>
        <w:rPr>
          <w:rFonts w:hint="eastAsia" w:ascii="宋体" w:hAnsi="宋体" w:eastAsia="宋体" w:cs="仿宋"/>
          <w:snapToGrid w:val="0"/>
          <w:color w:val="000000"/>
          <w:spacing w:val="-1"/>
          <w:kern w:val="0"/>
          <w:szCs w:val="21"/>
        </w:rPr>
        <w:tab/>
      </w:r>
      <w:r>
        <w:rPr>
          <w:rFonts w:hint="eastAsia" w:ascii="宋体" w:hAnsi="宋体" w:eastAsia="宋体" w:cs="仿宋"/>
          <w:snapToGrid w:val="0"/>
          <w:color w:val="000000"/>
          <w:spacing w:val="-1"/>
          <w:kern w:val="0"/>
          <w:szCs w:val="21"/>
        </w:rPr>
        <w:t>信息技术服务  质量评价指标体系</w:t>
      </w:r>
    </w:p>
    <w:p w14:paraId="575383E5">
      <w:pPr>
        <w:pageBreakBefore w:val="0"/>
        <w:widowControl w:val="0"/>
        <w:kinsoku/>
        <w:wordWrap/>
        <w:overflowPunct/>
        <w:topLinePunct w:val="0"/>
        <w:autoSpaceDE/>
        <w:autoSpaceDN/>
        <w:bidi w:val="0"/>
        <w:adjustRightInd/>
        <w:snapToGrid/>
        <w:spacing w:line="360" w:lineRule="auto"/>
        <w:ind w:firstLine="416" w:firstLineChars="200"/>
        <w:jc w:val="both"/>
        <w:textAlignment w:val="auto"/>
        <w:rPr>
          <w:rFonts w:hint="eastAsia" w:ascii="宋体" w:hAnsi="宋体" w:eastAsia="宋体" w:cs="仿宋"/>
          <w:snapToGrid w:val="0"/>
          <w:color w:val="000000"/>
          <w:spacing w:val="-1"/>
          <w:kern w:val="0"/>
          <w:szCs w:val="21"/>
        </w:rPr>
      </w:pPr>
      <w:r>
        <w:rPr>
          <w:rFonts w:hint="eastAsia" w:ascii="宋体" w:hAnsi="宋体" w:eastAsia="宋体" w:cs="仿宋"/>
          <w:snapToGrid w:val="0"/>
          <w:color w:val="000000"/>
          <w:spacing w:val="-1"/>
          <w:kern w:val="0"/>
          <w:szCs w:val="21"/>
        </w:rPr>
        <w:t>GB/T44881-2024</w:t>
      </w:r>
      <w:r>
        <w:rPr>
          <w:rFonts w:hint="eastAsia" w:ascii="宋体" w:hAnsi="宋体" w:eastAsia="宋体" w:cs="仿宋"/>
          <w:snapToGrid w:val="0"/>
          <w:color w:val="000000"/>
          <w:spacing w:val="-1"/>
          <w:kern w:val="0"/>
          <w:szCs w:val="21"/>
        </w:rPr>
        <w:tab/>
      </w:r>
      <w:r>
        <w:rPr>
          <w:rFonts w:hint="eastAsia" w:ascii="宋体" w:hAnsi="宋体" w:eastAsia="宋体" w:cs="仿宋"/>
          <w:snapToGrid w:val="0"/>
          <w:color w:val="000000"/>
          <w:spacing w:val="-1"/>
          <w:kern w:val="0"/>
          <w:szCs w:val="21"/>
        </w:rPr>
        <w:t>物联网数据质量评价方法</w:t>
      </w:r>
    </w:p>
    <w:p w14:paraId="1A4AC871">
      <w:pPr>
        <w:pageBreakBefore w:val="0"/>
        <w:widowControl w:val="0"/>
        <w:kinsoku/>
        <w:wordWrap/>
        <w:overflowPunct/>
        <w:topLinePunct w:val="0"/>
        <w:autoSpaceDE/>
        <w:autoSpaceDN/>
        <w:bidi w:val="0"/>
        <w:adjustRightInd/>
        <w:snapToGrid/>
        <w:spacing w:line="360" w:lineRule="auto"/>
        <w:ind w:firstLine="416" w:firstLineChars="200"/>
        <w:jc w:val="both"/>
        <w:textAlignment w:val="auto"/>
        <w:rPr>
          <w:rFonts w:hint="eastAsia" w:ascii="宋体" w:hAnsi="宋体" w:eastAsia="宋体" w:cs="仿宋"/>
          <w:snapToGrid w:val="0"/>
          <w:color w:val="000000"/>
          <w:spacing w:val="-1"/>
          <w:kern w:val="0"/>
          <w:szCs w:val="21"/>
        </w:rPr>
      </w:pPr>
      <w:r>
        <w:rPr>
          <w:rFonts w:hint="eastAsia" w:ascii="宋体" w:hAnsi="宋体" w:eastAsia="宋体" w:cs="仿宋"/>
          <w:snapToGrid w:val="0"/>
          <w:color w:val="000000"/>
          <w:spacing w:val="-1"/>
          <w:kern w:val="0"/>
          <w:szCs w:val="21"/>
        </w:rPr>
        <w:t>GB/T45288.2-2025</w:t>
      </w:r>
      <w:r>
        <w:rPr>
          <w:rFonts w:hint="eastAsia" w:ascii="宋体" w:hAnsi="宋体" w:eastAsia="宋体" w:cs="仿宋"/>
          <w:snapToGrid w:val="0"/>
          <w:color w:val="000000"/>
          <w:spacing w:val="-1"/>
          <w:kern w:val="0"/>
          <w:szCs w:val="21"/>
        </w:rPr>
        <w:tab/>
      </w:r>
      <w:r>
        <w:rPr>
          <w:rFonts w:hint="eastAsia" w:ascii="宋体" w:hAnsi="宋体" w:eastAsia="宋体" w:cs="仿宋"/>
          <w:snapToGrid w:val="0"/>
          <w:color w:val="000000"/>
          <w:spacing w:val="-1"/>
          <w:kern w:val="0"/>
          <w:szCs w:val="21"/>
        </w:rPr>
        <w:t>人工智能  大模型 第2部分：评测指标与方法</w:t>
      </w:r>
    </w:p>
    <w:p w14:paraId="6860DBB3">
      <w:pPr>
        <w:pStyle w:val="2"/>
        <w:pageBreakBefore w:val="0"/>
        <w:widowControl w:val="0"/>
        <w:numPr>
          <w:ilvl w:val="0"/>
          <w:numId w:val="1"/>
        </w:numPr>
        <w:kinsoku/>
        <w:wordWrap/>
        <w:overflowPunct/>
        <w:topLinePunct w:val="0"/>
        <w:autoSpaceDE/>
        <w:autoSpaceDN/>
        <w:bidi w:val="0"/>
        <w:adjustRightInd/>
        <w:snapToGrid/>
        <w:spacing w:before="0" w:after="0" w:line="360" w:lineRule="auto"/>
        <w:ind w:firstLine="420" w:firstLineChars="200"/>
        <w:jc w:val="both"/>
        <w:textAlignment w:val="auto"/>
        <w:rPr>
          <w:rFonts w:hint="eastAsia" w:ascii="黑体" w:hAnsi="黑体" w:eastAsia="黑体" w:cs="黑体"/>
          <w:b w:val="0"/>
          <w:bCs/>
          <w:sz w:val="21"/>
          <w:szCs w:val="21"/>
        </w:rPr>
      </w:pPr>
      <w:r>
        <w:rPr>
          <w:rFonts w:hint="eastAsia" w:ascii="黑体" w:hAnsi="黑体" w:eastAsia="黑体" w:cs="黑体"/>
          <w:b w:val="0"/>
          <w:bCs/>
          <w:sz w:val="21"/>
          <w:szCs w:val="21"/>
        </w:rPr>
        <w:t>国内同类标准制修订情况及与法律法规、强制性标准关系</w:t>
      </w:r>
    </w:p>
    <w:p w14:paraId="70E6072F">
      <w:pPr>
        <w:pStyle w:val="4"/>
        <w:pageBreakBefore w:val="0"/>
        <w:widowControl w:val="0"/>
        <w:numPr>
          <w:ilvl w:val="0"/>
          <w:numId w:val="5"/>
        </w:numPr>
        <w:kinsoku/>
        <w:wordWrap/>
        <w:overflowPunct/>
        <w:topLinePunct w:val="0"/>
        <w:autoSpaceDE/>
        <w:autoSpaceDN/>
        <w:bidi w:val="0"/>
        <w:adjustRightInd/>
        <w:snapToGrid/>
        <w:spacing w:before="1" w:line="216" w:lineRule="auto"/>
        <w:ind w:firstLine="420" w:firstLineChars="200"/>
        <w:jc w:val="both"/>
        <w:textAlignment w:val="auto"/>
        <w:outlineLvl w:val="1"/>
        <w:rPr>
          <w:rFonts w:ascii="Arial" w:hAnsi="Arial" w:eastAsia="黑体" w:cstheme="minorBidi"/>
          <w:bCs/>
          <w:sz w:val="21"/>
          <w:szCs w:val="21"/>
          <w:lang w:eastAsia="zh-CN"/>
        </w:rPr>
      </w:pPr>
      <w:r>
        <w:rPr>
          <w:rFonts w:hint="eastAsia" w:ascii="Arial" w:hAnsi="Arial" w:eastAsia="黑体" w:cstheme="minorBidi"/>
          <w:bCs/>
          <w:sz w:val="21"/>
          <w:szCs w:val="21"/>
          <w:lang w:eastAsia="zh-CN"/>
        </w:rPr>
        <w:t>国内同类标准制修订情况</w:t>
      </w:r>
    </w:p>
    <w:p w14:paraId="3923170B">
      <w:pPr>
        <w:pageBreakBefore w:val="0"/>
        <w:widowControl w:val="0"/>
        <w:kinsoku/>
        <w:wordWrap/>
        <w:overflowPunct/>
        <w:topLinePunct w:val="0"/>
        <w:autoSpaceDE/>
        <w:autoSpaceDN/>
        <w:bidi w:val="0"/>
        <w:adjustRightInd/>
        <w:snapToGrid/>
        <w:spacing w:line="360" w:lineRule="auto"/>
        <w:ind w:firstLine="416" w:firstLineChars="200"/>
        <w:jc w:val="both"/>
        <w:textAlignment w:val="auto"/>
        <w:rPr>
          <w:rFonts w:hint="eastAsia" w:cs="仿宋" w:asciiTheme="minorEastAsia" w:hAnsiTheme="minorEastAsia"/>
          <w:snapToGrid w:val="0"/>
          <w:color w:val="000000"/>
          <w:spacing w:val="-1"/>
          <w:kern w:val="0"/>
          <w:szCs w:val="21"/>
        </w:rPr>
      </w:pPr>
      <w:r>
        <w:rPr>
          <w:rFonts w:cs="仿宋" w:asciiTheme="minorEastAsia" w:hAnsiTheme="minorEastAsia"/>
          <w:snapToGrid w:val="0"/>
          <w:color w:val="000000"/>
          <w:spacing w:val="-1"/>
          <w:kern w:val="0"/>
          <w:szCs w:val="21"/>
        </w:rPr>
        <w:t>《国家数据标准体系建设指南》《国家数据基础设施建设指引》《关于促进数据标注产业高质量发展的实施意见》等政策文件要求，加快推进数据基础设施建设，推动行业高质量数据集建设，促进数据高质安全流通，全国数据标准化技术委员会秘书处推动形成了《高质量数据集 建设指南（征求意见稿）》等将传统“六性”指标扩展为涵盖基础、安全、内容及应用的多维评价体系，同时在研标准</w:t>
      </w:r>
      <w:r>
        <w:rPr>
          <w:rFonts w:hint="eastAsia" w:cs="仿宋" w:asciiTheme="minorEastAsia" w:hAnsiTheme="minorEastAsia"/>
          <w:snapToGrid w:val="0"/>
          <w:color w:val="000000"/>
          <w:spacing w:val="-1"/>
          <w:kern w:val="0"/>
          <w:szCs w:val="21"/>
        </w:rPr>
        <w:t>，</w:t>
      </w:r>
      <w:r>
        <w:rPr>
          <w:rFonts w:cs="仿宋" w:asciiTheme="minorEastAsia" w:hAnsiTheme="minorEastAsia"/>
          <w:snapToGrid w:val="0"/>
          <w:color w:val="000000"/>
          <w:spacing w:val="-1"/>
          <w:kern w:val="0"/>
          <w:szCs w:val="21"/>
        </w:rPr>
        <w:t>如《高质量数据集 分类指南》《高质量数据集 格式要求》标准草案、《高质量数据集 质量评测规范》标准草案》进一步细化行业场景需求，构建兼具国际兼容性和本土适应性的高质量数据集评价框架。</w:t>
      </w:r>
    </w:p>
    <w:p w14:paraId="40A7C46D">
      <w:pPr>
        <w:pStyle w:val="4"/>
        <w:pageBreakBefore w:val="0"/>
        <w:widowControl w:val="0"/>
        <w:numPr>
          <w:ilvl w:val="0"/>
          <w:numId w:val="5"/>
        </w:numPr>
        <w:kinsoku/>
        <w:wordWrap/>
        <w:overflowPunct/>
        <w:topLinePunct w:val="0"/>
        <w:autoSpaceDE/>
        <w:autoSpaceDN/>
        <w:bidi w:val="0"/>
        <w:adjustRightInd/>
        <w:snapToGrid/>
        <w:spacing w:before="1" w:line="216" w:lineRule="auto"/>
        <w:ind w:firstLine="420" w:firstLineChars="200"/>
        <w:jc w:val="both"/>
        <w:textAlignment w:val="auto"/>
        <w:outlineLvl w:val="1"/>
        <w:rPr>
          <w:rFonts w:ascii="Arial" w:hAnsi="Arial" w:eastAsia="黑体" w:cstheme="minorBidi"/>
          <w:bCs/>
          <w:sz w:val="21"/>
          <w:szCs w:val="21"/>
          <w:lang w:eastAsia="zh-CN"/>
        </w:rPr>
      </w:pPr>
      <w:r>
        <w:rPr>
          <w:rFonts w:hint="eastAsia" w:ascii="Arial" w:hAnsi="Arial" w:eastAsia="黑体" w:cstheme="minorBidi"/>
          <w:bCs/>
          <w:sz w:val="21"/>
          <w:szCs w:val="21"/>
          <w:lang w:eastAsia="zh-CN"/>
        </w:rPr>
        <w:t>与法律法规、强制性标准的关系</w:t>
      </w:r>
    </w:p>
    <w:p w14:paraId="2996D89B">
      <w:pPr>
        <w:pStyle w:val="4"/>
        <w:pageBreakBefore w:val="0"/>
        <w:widowControl w:val="0"/>
        <w:kinsoku/>
        <w:wordWrap/>
        <w:overflowPunct/>
        <w:topLinePunct w:val="0"/>
        <w:autoSpaceDE/>
        <w:autoSpaceDN/>
        <w:bidi w:val="0"/>
        <w:adjustRightInd/>
        <w:snapToGrid/>
        <w:spacing w:line="360" w:lineRule="auto"/>
        <w:ind w:firstLine="404" w:firstLineChars="200"/>
        <w:jc w:val="both"/>
        <w:textAlignment w:val="auto"/>
        <w:rPr>
          <w:rFonts w:hint="eastAsia" w:ascii="宋体" w:hAnsi="宋体" w:eastAsia="宋体"/>
          <w:sz w:val="21"/>
          <w:szCs w:val="21"/>
          <w:lang w:eastAsia="zh-CN"/>
        </w:rPr>
      </w:pPr>
      <w:r>
        <w:rPr>
          <w:rFonts w:hint="eastAsia" w:ascii="宋体" w:hAnsi="宋体" w:eastAsia="宋体"/>
          <w:spacing w:val="-4"/>
          <w:sz w:val="21"/>
          <w:szCs w:val="21"/>
          <w:lang w:eastAsia="zh-CN"/>
        </w:rPr>
        <w:t>（</w:t>
      </w:r>
      <w:r>
        <w:rPr>
          <w:rFonts w:ascii="宋体" w:hAnsi="宋体" w:eastAsia="宋体"/>
          <w:spacing w:val="-4"/>
          <w:sz w:val="21"/>
          <w:szCs w:val="21"/>
          <w:lang w:eastAsia="zh-CN"/>
        </w:rPr>
        <w:t>1</w:t>
      </w:r>
      <w:r>
        <w:rPr>
          <w:rFonts w:hint="eastAsia" w:ascii="宋体" w:hAnsi="宋体" w:eastAsia="宋体"/>
          <w:spacing w:val="-4"/>
          <w:sz w:val="21"/>
          <w:szCs w:val="21"/>
          <w:lang w:eastAsia="zh-CN"/>
        </w:rPr>
        <w:t>）</w:t>
      </w:r>
      <w:r>
        <w:rPr>
          <w:rFonts w:ascii="宋体" w:hAnsi="宋体" w:eastAsia="宋体"/>
          <w:spacing w:val="-4"/>
          <w:sz w:val="21"/>
          <w:szCs w:val="21"/>
          <w:lang w:eastAsia="zh-CN"/>
        </w:rPr>
        <w:t>与法律法规的协调情况</w:t>
      </w:r>
    </w:p>
    <w:p w14:paraId="70DAC5E0">
      <w:pPr>
        <w:pStyle w:val="4"/>
        <w:pageBreakBefore w:val="0"/>
        <w:widowControl w:val="0"/>
        <w:kinsoku/>
        <w:wordWrap/>
        <w:overflowPunct/>
        <w:topLinePunct w:val="0"/>
        <w:autoSpaceDE/>
        <w:autoSpaceDN/>
        <w:bidi w:val="0"/>
        <w:adjustRightInd/>
        <w:snapToGrid/>
        <w:spacing w:line="360" w:lineRule="auto"/>
        <w:ind w:firstLine="416" w:firstLineChars="200"/>
        <w:jc w:val="both"/>
        <w:textAlignment w:val="auto"/>
        <w:rPr>
          <w:rFonts w:hint="eastAsia" w:ascii="宋体" w:hAnsi="宋体" w:eastAsia="宋体"/>
          <w:sz w:val="21"/>
          <w:szCs w:val="21"/>
          <w:lang w:eastAsia="zh-CN"/>
        </w:rPr>
      </w:pPr>
      <w:r>
        <w:rPr>
          <w:rFonts w:ascii="宋体" w:hAnsi="宋体" w:eastAsia="宋体"/>
          <w:spacing w:val="-1"/>
          <w:sz w:val="21"/>
          <w:szCs w:val="21"/>
          <w:lang w:eastAsia="zh-CN"/>
        </w:rPr>
        <w:t>本标准与现行法律、法规和强制性国家标准没有冲突。标准的编写符</w:t>
      </w:r>
      <w:r>
        <w:rPr>
          <w:rFonts w:ascii="宋体" w:hAnsi="宋体" w:eastAsia="宋体"/>
          <w:spacing w:val="-5"/>
          <w:sz w:val="21"/>
          <w:szCs w:val="21"/>
          <w:lang w:eastAsia="zh-CN"/>
        </w:rPr>
        <w:t>合GB/T</w:t>
      </w:r>
      <w:r>
        <w:rPr>
          <w:rFonts w:ascii="宋体" w:hAnsi="宋体" w:eastAsia="宋体"/>
          <w:spacing w:val="28"/>
          <w:sz w:val="21"/>
          <w:szCs w:val="21"/>
          <w:lang w:eastAsia="zh-CN"/>
        </w:rPr>
        <w:t xml:space="preserve"> </w:t>
      </w:r>
      <w:r>
        <w:rPr>
          <w:rFonts w:ascii="宋体" w:hAnsi="宋体" w:eastAsia="宋体"/>
          <w:spacing w:val="-5"/>
          <w:sz w:val="21"/>
          <w:szCs w:val="21"/>
          <w:lang w:eastAsia="zh-CN"/>
        </w:rPr>
        <w:t>1.1—2020的要求。</w:t>
      </w:r>
    </w:p>
    <w:p w14:paraId="30E297D1">
      <w:pPr>
        <w:pStyle w:val="4"/>
        <w:pageBreakBefore w:val="0"/>
        <w:widowControl w:val="0"/>
        <w:kinsoku/>
        <w:wordWrap/>
        <w:overflowPunct/>
        <w:topLinePunct w:val="0"/>
        <w:autoSpaceDE/>
        <w:autoSpaceDN/>
        <w:bidi w:val="0"/>
        <w:adjustRightInd/>
        <w:snapToGrid/>
        <w:spacing w:line="360" w:lineRule="auto"/>
        <w:ind w:firstLine="404" w:firstLineChars="200"/>
        <w:jc w:val="both"/>
        <w:textAlignment w:val="auto"/>
        <w:rPr>
          <w:rFonts w:hint="eastAsia" w:ascii="宋体" w:hAnsi="宋体" w:eastAsia="宋体"/>
          <w:sz w:val="21"/>
          <w:szCs w:val="21"/>
          <w:lang w:eastAsia="zh-CN"/>
        </w:rPr>
      </w:pPr>
      <w:r>
        <w:rPr>
          <w:rFonts w:hint="eastAsia" w:ascii="宋体" w:hAnsi="宋体" w:eastAsia="宋体"/>
          <w:spacing w:val="-4"/>
          <w:sz w:val="21"/>
          <w:szCs w:val="21"/>
          <w:lang w:eastAsia="zh-CN"/>
        </w:rPr>
        <w:t>（</w:t>
      </w:r>
      <w:r>
        <w:rPr>
          <w:rFonts w:ascii="宋体" w:hAnsi="宋体" w:eastAsia="宋体"/>
          <w:spacing w:val="-4"/>
          <w:sz w:val="21"/>
          <w:szCs w:val="21"/>
          <w:lang w:eastAsia="zh-CN"/>
        </w:rPr>
        <w:t>2</w:t>
      </w:r>
      <w:r>
        <w:rPr>
          <w:rFonts w:hint="eastAsia" w:ascii="宋体" w:hAnsi="宋体" w:eastAsia="宋体"/>
          <w:spacing w:val="-4"/>
          <w:sz w:val="21"/>
          <w:szCs w:val="21"/>
          <w:lang w:eastAsia="zh-CN"/>
        </w:rPr>
        <w:t>）</w:t>
      </w:r>
      <w:r>
        <w:rPr>
          <w:rFonts w:ascii="宋体" w:hAnsi="宋体" w:eastAsia="宋体"/>
          <w:spacing w:val="-4"/>
          <w:sz w:val="21"/>
          <w:szCs w:val="21"/>
          <w:lang w:eastAsia="zh-CN"/>
        </w:rPr>
        <w:t>标准查询情况及区别</w:t>
      </w:r>
    </w:p>
    <w:p w14:paraId="62A3D078">
      <w:pPr>
        <w:pStyle w:val="4"/>
        <w:pageBreakBefore w:val="0"/>
        <w:widowControl w:val="0"/>
        <w:kinsoku/>
        <w:wordWrap/>
        <w:overflowPunct/>
        <w:topLinePunct w:val="0"/>
        <w:autoSpaceDE/>
        <w:autoSpaceDN/>
        <w:bidi w:val="0"/>
        <w:adjustRightInd/>
        <w:snapToGrid/>
        <w:spacing w:line="360" w:lineRule="auto"/>
        <w:ind w:firstLine="412" w:firstLineChars="200"/>
        <w:jc w:val="both"/>
        <w:textAlignment w:val="auto"/>
        <w:rPr>
          <w:rFonts w:hint="eastAsia" w:ascii="宋体" w:hAnsi="宋体" w:eastAsia="宋体"/>
          <w:spacing w:val="-2"/>
          <w:sz w:val="21"/>
          <w:szCs w:val="21"/>
          <w:lang w:eastAsia="zh-CN"/>
        </w:rPr>
      </w:pPr>
      <w:r>
        <w:rPr>
          <w:rFonts w:ascii="宋体" w:hAnsi="宋体" w:eastAsia="宋体"/>
          <w:spacing w:val="-2"/>
          <w:sz w:val="21"/>
          <w:szCs w:val="21"/>
          <w:lang w:eastAsia="zh-CN"/>
        </w:rPr>
        <w:t>经查询，</w:t>
      </w:r>
      <w:r>
        <w:rPr>
          <w:rFonts w:hint="eastAsia" w:ascii="宋体" w:hAnsi="宋体" w:eastAsia="宋体"/>
          <w:spacing w:val="-2"/>
          <w:sz w:val="21"/>
          <w:szCs w:val="21"/>
          <w:lang w:eastAsia="zh-CN"/>
        </w:rPr>
        <w:t>目前还</w:t>
      </w:r>
      <w:r>
        <w:rPr>
          <w:rFonts w:ascii="宋体" w:hAnsi="宋体" w:eastAsia="宋体"/>
          <w:spacing w:val="-2"/>
          <w:sz w:val="21"/>
          <w:szCs w:val="21"/>
          <w:lang w:eastAsia="zh-CN"/>
        </w:rPr>
        <w:t>没有与</w:t>
      </w:r>
      <w:r>
        <w:rPr>
          <w:rFonts w:hint="eastAsia" w:ascii="宋体" w:hAnsi="宋体" w:eastAsia="宋体"/>
          <w:spacing w:val="-2"/>
          <w:sz w:val="21"/>
          <w:szCs w:val="21"/>
          <w:lang w:eastAsia="zh-CN"/>
        </w:rPr>
        <w:t>本</w:t>
      </w:r>
      <w:r>
        <w:rPr>
          <w:rFonts w:ascii="宋体" w:hAnsi="宋体" w:eastAsia="宋体"/>
          <w:spacing w:val="-2"/>
          <w:sz w:val="21"/>
          <w:szCs w:val="21"/>
          <w:lang w:eastAsia="zh-CN"/>
        </w:rPr>
        <w:t>标准名称</w:t>
      </w:r>
      <w:r>
        <w:rPr>
          <w:rFonts w:hint="eastAsia" w:ascii="宋体" w:hAnsi="宋体" w:eastAsia="宋体"/>
          <w:spacing w:val="-2"/>
          <w:sz w:val="21"/>
          <w:szCs w:val="21"/>
          <w:lang w:eastAsia="zh-CN"/>
        </w:rPr>
        <w:t>相同或类似</w:t>
      </w:r>
      <w:r>
        <w:rPr>
          <w:rFonts w:ascii="宋体" w:hAnsi="宋体" w:eastAsia="宋体"/>
          <w:spacing w:val="-2"/>
          <w:sz w:val="21"/>
          <w:szCs w:val="21"/>
          <w:lang w:eastAsia="zh-CN"/>
        </w:rPr>
        <w:t>的</w:t>
      </w:r>
      <w:r>
        <w:rPr>
          <w:rFonts w:hint="eastAsia" w:ascii="宋体" w:hAnsi="宋体" w:eastAsia="宋体"/>
          <w:spacing w:val="-2"/>
          <w:sz w:val="21"/>
          <w:szCs w:val="21"/>
          <w:lang w:eastAsia="zh-CN"/>
        </w:rPr>
        <w:t>，已颁发使用的</w:t>
      </w:r>
      <w:r>
        <w:rPr>
          <w:rFonts w:ascii="宋体" w:hAnsi="宋体" w:eastAsia="宋体"/>
          <w:spacing w:val="-2"/>
          <w:sz w:val="21"/>
          <w:szCs w:val="21"/>
          <w:lang w:eastAsia="zh-CN"/>
        </w:rPr>
        <w:t>国家标准、行业标准或地方标准。</w:t>
      </w:r>
    </w:p>
    <w:p w14:paraId="3A4301FF">
      <w:pPr>
        <w:pStyle w:val="2"/>
        <w:pageBreakBefore w:val="0"/>
        <w:widowControl w:val="0"/>
        <w:numPr>
          <w:ilvl w:val="0"/>
          <w:numId w:val="1"/>
        </w:numPr>
        <w:kinsoku/>
        <w:wordWrap/>
        <w:overflowPunct/>
        <w:topLinePunct w:val="0"/>
        <w:autoSpaceDE/>
        <w:autoSpaceDN/>
        <w:bidi w:val="0"/>
        <w:adjustRightInd/>
        <w:snapToGrid/>
        <w:spacing w:before="0" w:after="0" w:line="360" w:lineRule="auto"/>
        <w:ind w:firstLine="420" w:firstLineChars="200"/>
        <w:jc w:val="both"/>
        <w:textAlignment w:val="auto"/>
        <w:rPr>
          <w:rFonts w:hint="eastAsia" w:ascii="黑体" w:hAnsi="黑体" w:eastAsia="黑体" w:cs="黑体"/>
          <w:b w:val="0"/>
          <w:bCs/>
          <w:sz w:val="21"/>
          <w:szCs w:val="21"/>
        </w:rPr>
      </w:pPr>
      <w:r>
        <w:rPr>
          <w:rFonts w:hint="eastAsia" w:ascii="黑体" w:hAnsi="黑体" w:eastAsia="黑体" w:cs="黑体"/>
          <w:b w:val="0"/>
          <w:bCs/>
          <w:sz w:val="21"/>
          <w:szCs w:val="21"/>
        </w:rPr>
        <w:t>重大分歧意见的处理经过和依据</w:t>
      </w:r>
    </w:p>
    <w:p w14:paraId="2D30C76F">
      <w:pPr>
        <w:pageBreakBefore w:val="0"/>
        <w:widowControl w:val="0"/>
        <w:kinsoku/>
        <w:wordWrap/>
        <w:overflowPunct/>
        <w:topLinePunct w:val="0"/>
        <w:autoSpaceDE/>
        <w:autoSpaceDN/>
        <w:bidi w:val="0"/>
        <w:adjustRightInd/>
        <w:snapToGrid/>
        <w:spacing w:line="360" w:lineRule="auto"/>
        <w:ind w:firstLine="416" w:firstLineChars="200"/>
        <w:jc w:val="both"/>
        <w:textAlignment w:val="auto"/>
        <w:rPr>
          <w:rFonts w:hint="eastAsia" w:ascii="宋体" w:hAnsi="宋体" w:eastAsia="宋体" w:cs="仿宋"/>
          <w:snapToGrid w:val="0"/>
          <w:color w:val="000000"/>
          <w:spacing w:val="-1"/>
          <w:kern w:val="0"/>
          <w:szCs w:val="21"/>
        </w:rPr>
      </w:pPr>
      <w:r>
        <w:rPr>
          <w:rFonts w:ascii="宋体" w:hAnsi="宋体" w:eastAsia="宋体" w:cs="仿宋"/>
          <w:snapToGrid w:val="0"/>
          <w:color w:val="000000"/>
          <w:spacing w:val="-1"/>
          <w:kern w:val="0"/>
          <w:szCs w:val="21"/>
        </w:rPr>
        <w:t>本标准研制过程中无重大分歧意见。</w:t>
      </w:r>
    </w:p>
    <w:p w14:paraId="6DEF183B">
      <w:pPr>
        <w:snapToGrid w:val="0"/>
        <w:spacing w:line="360" w:lineRule="auto"/>
        <w:jc w:val="left"/>
        <w:rPr>
          <w:rFonts w:hint="eastAsia" w:ascii="仿宋" w:hAnsi="仿宋" w:eastAsia="仿宋" w:cs="仿宋"/>
          <w:snapToGrid w:val="0"/>
          <w:color w:val="000000"/>
          <w:spacing w:val="-1"/>
          <w:kern w:val="0"/>
          <w:sz w:val="28"/>
          <w:szCs w:val="28"/>
        </w:rPr>
      </w:pPr>
    </w:p>
    <w:p w14:paraId="6F8DC10D">
      <w:pPr>
        <w:pStyle w:val="4"/>
        <w:widowControl/>
        <w:kinsoku w:val="0"/>
        <w:autoSpaceDE w:val="0"/>
        <w:autoSpaceDN w:val="0"/>
        <w:adjustRightInd w:val="0"/>
        <w:snapToGrid w:val="0"/>
        <w:spacing w:before="92" w:line="370" w:lineRule="auto"/>
        <w:ind w:right="278"/>
        <w:jc w:val="right"/>
        <w:textAlignment w:val="baseline"/>
        <w:rPr>
          <w:rFonts w:hint="eastAsia" w:ascii="宋体" w:hAnsi="宋体" w:eastAsia="宋体"/>
          <w:snapToGrid w:val="0"/>
          <w:color w:val="000000"/>
          <w:spacing w:val="-2"/>
          <w:kern w:val="0"/>
          <w:sz w:val="21"/>
          <w:szCs w:val="21"/>
          <w:lang w:eastAsia="zh-CN"/>
        </w:rPr>
      </w:pPr>
      <w:r>
        <w:rPr>
          <w:rFonts w:ascii="宋体" w:hAnsi="宋体" w:eastAsia="宋体"/>
          <w:snapToGrid w:val="0"/>
          <w:color w:val="000000"/>
          <w:spacing w:val="-2"/>
          <w:kern w:val="0"/>
          <w:sz w:val="21"/>
          <w:szCs w:val="21"/>
          <w:lang w:eastAsia="zh-CN"/>
        </w:rPr>
        <w:t>团体标准《高质量数据集检验检测指标体系要</w:t>
      </w:r>
      <w:r>
        <w:rPr>
          <w:rFonts w:hint="eastAsia" w:ascii="宋体" w:hAnsi="宋体" w:eastAsia="宋体"/>
          <w:snapToGrid w:val="0"/>
          <w:color w:val="000000"/>
          <w:spacing w:val="-2"/>
          <w:kern w:val="0"/>
          <w:sz w:val="21"/>
          <w:szCs w:val="21"/>
          <w:lang w:eastAsia="zh-CN"/>
        </w:rPr>
        <w:t>求</w:t>
      </w:r>
      <w:r>
        <w:rPr>
          <w:rFonts w:ascii="宋体" w:hAnsi="宋体" w:eastAsia="宋体"/>
          <w:snapToGrid w:val="0"/>
          <w:color w:val="000000"/>
          <w:spacing w:val="-2"/>
          <w:kern w:val="0"/>
          <w:sz w:val="21"/>
          <w:szCs w:val="21"/>
          <w:lang w:eastAsia="zh-CN"/>
        </w:rPr>
        <w:t>》</w:t>
      </w:r>
    </w:p>
    <w:p w14:paraId="351FFCD8">
      <w:pPr>
        <w:pStyle w:val="4"/>
        <w:widowControl/>
        <w:kinsoku w:val="0"/>
        <w:autoSpaceDE w:val="0"/>
        <w:autoSpaceDN w:val="0"/>
        <w:adjustRightInd w:val="0"/>
        <w:snapToGrid w:val="0"/>
        <w:spacing w:before="92" w:line="370" w:lineRule="auto"/>
        <w:ind w:left="5862" w:right="278" w:hanging="2923"/>
        <w:jc w:val="right"/>
        <w:textAlignment w:val="baseline"/>
        <w:rPr>
          <w:rFonts w:hint="eastAsia" w:ascii="宋体" w:hAnsi="宋体" w:eastAsia="宋体"/>
          <w:snapToGrid w:val="0"/>
          <w:color w:val="000000"/>
          <w:spacing w:val="-2"/>
          <w:kern w:val="0"/>
          <w:sz w:val="21"/>
          <w:szCs w:val="21"/>
        </w:rPr>
      </w:pPr>
      <w:r>
        <w:rPr>
          <w:rFonts w:ascii="宋体" w:hAnsi="宋体" w:eastAsia="宋体"/>
          <w:snapToGrid w:val="0"/>
          <w:color w:val="000000"/>
          <w:spacing w:val="-2"/>
          <w:kern w:val="0"/>
          <w:sz w:val="21"/>
          <w:szCs w:val="21"/>
        </w:rPr>
        <w:t>编制工作组</w:t>
      </w:r>
    </w:p>
    <w:p w14:paraId="5AF45F7D">
      <w:pPr>
        <w:pStyle w:val="4"/>
        <w:widowControl/>
        <w:kinsoku w:val="0"/>
        <w:autoSpaceDE w:val="0"/>
        <w:autoSpaceDN w:val="0"/>
        <w:adjustRightInd w:val="0"/>
        <w:snapToGrid w:val="0"/>
        <w:spacing w:before="92" w:line="370" w:lineRule="auto"/>
        <w:ind w:left="5862" w:right="278" w:hanging="2923"/>
        <w:jc w:val="right"/>
        <w:textAlignment w:val="baseline"/>
        <w:rPr>
          <w:rFonts w:hint="eastAsia" w:ascii="宋体" w:hAnsi="宋体" w:eastAsia="宋体"/>
          <w:snapToGrid w:val="0"/>
          <w:color w:val="000000"/>
          <w:spacing w:val="-1"/>
          <w:kern w:val="0"/>
          <w:sz w:val="21"/>
          <w:szCs w:val="21"/>
          <w:lang w:eastAsia="zh-CN"/>
        </w:rPr>
      </w:pPr>
      <w:r>
        <w:rPr>
          <w:rFonts w:ascii="宋体" w:hAnsi="宋体" w:eastAsia="宋体"/>
          <w:snapToGrid w:val="0"/>
          <w:color w:val="000000"/>
          <w:spacing w:val="-2"/>
          <w:kern w:val="0"/>
          <w:sz w:val="21"/>
          <w:szCs w:val="21"/>
        </w:rPr>
        <w:t>2025年8月</w:t>
      </w:r>
      <w:r>
        <w:rPr>
          <w:rFonts w:hint="eastAsia" w:ascii="宋体" w:hAnsi="宋体" w:eastAsia="宋体"/>
          <w:snapToGrid w:val="0"/>
          <w:color w:val="000000"/>
          <w:spacing w:val="-2"/>
          <w:kern w:val="0"/>
          <w:sz w:val="21"/>
          <w:szCs w:val="21"/>
          <w:lang w:eastAsia="zh-CN"/>
        </w:rPr>
        <w:t>26</w:t>
      </w:r>
      <w:r>
        <w:rPr>
          <w:rFonts w:ascii="宋体" w:hAnsi="宋体" w:eastAsia="宋体"/>
          <w:snapToGrid w:val="0"/>
          <w:color w:val="000000"/>
          <w:spacing w:val="-2"/>
          <w:kern w:val="0"/>
          <w:sz w:val="21"/>
          <w:szCs w:val="21"/>
        </w:rPr>
        <w:t>日</w:t>
      </w:r>
    </w:p>
    <w:sectPr>
      <w:footerReference r:id="rId3" w:type="default"/>
      <w:pgSz w:w="11906" w:h="16838"/>
      <w:pgMar w:top="1429" w:right="1344" w:bottom="1174" w:left="1429" w:header="851" w:footer="992" w:gutter="0"/>
      <w:pgNumType w:start="1"/>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Microsoft YaHei UI">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463529">
    <w:pPr>
      <w:spacing w:line="236" w:lineRule="auto"/>
      <w:ind w:left="4486"/>
      <w:rPr>
        <w:rFonts w:ascii="Times New Roman" w:hAnsi="Times New Roman" w:eastAsia="Calibri" w:cs="Times New Roman"/>
        <w:szCs w:val="21"/>
      </w:rPr>
    </w:pPr>
    <w:r>
      <w:rPr>
        <w:rFonts w:ascii="Times New Roman" w:hAnsi="Times New Roman" w:eastAsia="Calibri" w:cs="Times New Roman"/>
        <w:szCs w:val="21"/>
      </w:rPr>
      <w:t>5</w: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28C245E"/>
    <w:multiLevelType w:val="singleLevel"/>
    <w:tmpl w:val="928C245E"/>
    <w:lvl w:ilvl="0" w:tentative="0">
      <w:start w:val="1"/>
      <w:numFmt w:val="chineseCounting"/>
      <w:suff w:val="nothing"/>
      <w:lvlText w:val="%1、"/>
      <w:lvlJc w:val="left"/>
      <w:rPr>
        <w:rFonts w:hint="eastAsia"/>
      </w:rPr>
    </w:lvl>
  </w:abstractNum>
  <w:abstractNum w:abstractNumId="1">
    <w:nsid w:val="D94BAD16"/>
    <w:multiLevelType w:val="singleLevel"/>
    <w:tmpl w:val="D94BAD16"/>
    <w:lvl w:ilvl="0" w:tentative="0">
      <w:start w:val="1"/>
      <w:numFmt w:val="chineseCounting"/>
      <w:suff w:val="nothing"/>
      <w:lvlText w:val="（%1）"/>
      <w:lvlJc w:val="left"/>
      <w:rPr>
        <w:rFonts w:hint="eastAsia"/>
      </w:rPr>
    </w:lvl>
  </w:abstractNum>
  <w:abstractNum w:abstractNumId="2">
    <w:nsid w:val="59175A79"/>
    <w:multiLevelType w:val="singleLevel"/>
    <w:tmpl w:val="59175A79"/>
    <w:lvl w:ilvl="0" w:tentative="0">
      <w:start w:val="1"/>
      <w:numFmt w:val="chineseCounting"/>
      <w:suff w:val="nothing"/>
      <w:lvlText w:val="（%1）"/>
      <w:lvlJc w:val="left"/>
      <w:rPr>
        <w:rFonts w:hint="eastAsia"/>
      </w:rPr>
    </w:lvl>
  </w:abstractNum>
  <w:abstractNum w:abstractNumId="3">
    <w:nsid w:val="653F6141"/>
    <w:multiLevelType w:val="singleLevel"/>
    <w:tmpl w:val="653F6141"/>
    <w:lvl w:ilvl="0" w:tentative="0">
      <w:start w:val="1"/>
      <w:numFmt w:val="chineseCounting"/>
      <w:suff w:val="nothing"/>
      <w:lvlText w:val="（%1）"/>
      <w:lvlJc w:val="left"/>
      <w:rPr>
        <w:rFonts w:hint="eastAsia"/>
      </w:rPr>
    </w:lvl>
  </w:abstractNum>
  <w:abstractNum w:abstractNumId="4">
    <w:nsid w:val="72F03FDA"/>
    <w:multiLevelType w:val="singleLevel"/>
    <w:tmpl w:val="72F03FDA"/>
    <w:lvl w:ilvl="0" w:tentative="0">
      <w:start w:val="1"/>
      <w:numFmt w:val="chineseCounting"/>
      <w:suff w:val="nothing"/>
      <w:lvlText w:val="（%1）"/>
      <w:lvlJc w:val="left"/>
      <w:rPr>
        <w:rFonts w:hint="eastAsia"/>
      </w:rPr>
    </w:lvl>
  </w:abstractNum>
  <w:num w:numId="1">
    <w:abstractNumId w:val="0"/>
  </w:num>
  <w:num w:numId="2">
    <w:abstractNumId w:val="1"/>
  </w:num>
  <w:num w:numId="3">
    <w:abstractNumId w:val="3"/>
  </w:num>
  <w:num w:numId="4">
    <w:abstractNumId w:val="2"/>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HorizontalSpacing w:val="105"/>
  <w:drawingGridVerticalSpacing w:val="156"/>
  <w:displayHorizontalDrawingGridEvery w:val="2"/>
  <w:displayVerticalDrawingGridEvery w:val="2"/>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80B0A63"/>
    <w:rsid w:val="00025C1E"/>
    <w:rsid w:val="0004545C"/>
    <w:rsid w:val="0007529B"/>
    <w:rsid w:val="0009273F"/>
    <w:rsid w:val="00113AFB"/>
    <w:rsid w:val="00143C9E"/>
    <w:rsid w:val="001D766E"/>
    <w:rsid w:val="00203716"/>
    <w:rsid w:val="00280748"/>
    <w:rsid w:val="00303117"/>
    <w:rsid w:val="00310722"/>
    <w:rsid w:val="0033509A"/>
    <w:rsid w:val="00343C06"/>
    <w:rsid w:val="00355B22"/>
    <w:rsid w:val="003939C1"/>
    <w:rsid w:val="003E1FFB"/>
    <w:rsid w:val="00402332"/>
    <w:rsid w:val="00413050"/>
    <w:rsid w:val="0042014A"/>
    <w:rsid w:val="004A239A"/>
    <w:rsid w:val="004B6370"/>
    <w:rsid w:val="004C106A"/>
    <w:rsid w:val="00521566"/>
    <w:rsid w:val="00575513"/>
    <w:rsid w:val="00592A2A"/>
    <w:rsid w:val="00603E41"/>
    <w:rsid w:val="0068160B"/>
    <w:rsid w:val="006E363F"/>
    <w:rsid w:val="00726922"/>
    <w:rsid w:val="0073402D"/>
    <w:rsid w:val="0073728E"/>
    <w:rsid w:val="007A525E"/>
    <w:rsid w:val="008566A5"/>
    <w:rsid w:val="00877BFC"/>
    <w:rsid w:val="008D4AC8"/>
    <w:rsid w:val="00916966"/>
    <w:rsid w:val="00942B82"/>
    <w:rsid w:val="00961321"/>
    <w:rsid w:val="0098222B"/>
    <w:rsid w:val="009A2060"/>
    <w:rsid w:val="009E2CB1"/>
    <w:rsid w:val="009E370B"/>
    <w:rsid w:val="00A51E22"/>
    <w:rsid w:val="00A53DAF"/>
    <w:rsid w:val="00A5796D"/>
    <w:rsid w:val="00BA45A2"/>
    <w:rsid w:val="00CD32F8"/>
    <w:rsid w:val="00D22D4D"/>
    <w:rsid w:val="00D44C30"/>
    <w:rsid w:val="00D524E3"/>
    <w:rsid w:val="00D81C87"/>
    <w:rsid w:val="00D94E46"/>
    <w:rsid w:val="00DB20F7"/>
    <w:rsid w:val="00DB360B"/>
    <w:rsid w:val="00DE1C99"/>
    <w:rsid w:val="00EE0EC1"/>
    <w:rsid w:val="00F71AD9"/>
    <w:rsid w:val="00F77234"/>
    <w:rsid w:val="00FB5E5A"/>
    <w:rsid w:val="00FD5EF8"/>
    <w:rsid w:val="01BF166D"/>
    <w:rsid w:val="060F775F"/>
    <w:rsid w:val="088156B6"/>
    <w:rsid w:val="11DF4949"/>
    <w:rsid w:val="15036079"/>
    <w:rsid w:val="159E5049"/>
    <w:rsid w:val="180B0A63"/>
    <w:rsid w:val="2632153B"/>
    <w:rsid w:val="31754F4F"/>
    <w:rsid w:val="3C9F0197"/>
    <w:rsid w:val="486758E9"/>
    <w:rsid w:val="4A7269E1"/>
    <w:rsid w:val="50025F99"/>
    <w:rsid w:val="55703126"/>
    <w:rsid w:val="58651707"/>
    <w:rsid w:val="60E26806"/>
    <w:rsid w:val="638860BB"/>
    <w:rsid w:val="70C5369B"/>
    <w:rsid w:val="71996166"/>
    <w:rsid w:val="780544D6"/>
    <w:rsid w:val="78BA2B4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6" w:lineRule="auto"/>
      <w:outlineLvl w:val="0"/>
    </w:pPr>
    <w:rPr>
      <w:b/>
      <w:kern w:val="44"/>
      <w:sz w:val="44"/>
    </w:rPr>
  </w:style>
  <w:style w:type="paragraph" w:styleId="3">
    <w:name w:val="heading 2"/>
    <w:basedOn w:val="1"/>
    <w:next w:val="1"/>
    <w:unhideWhenUsed/>
    <w:qFormat/>
    <w:uiPriority w:val="0"/>
    <w:pPr>
      <w:keepNext/>
      <w:keepLines/>
      <w:spacing w:before="260" w:after="260" w:line="413" w:lineRule="auto"/>
      <w:outlineLvl w:val="1"/>
    </w:pPr>
    <w:rPr>
      <w:rFonts w:ascii="Arial" w:hAnsi="Arial" w:eastAsia="黑体"/>
      <w:b/>
      <w:sz w:val="32"/>
    </w:rPr>
  </w:style>
  <w:style w:type="character" w:default="1" w:styleId="9">
    <w:name w:val="Default Paragraph Font"/>
    <w:semiHidden/>
    <w:unhideWhenUsed/>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4">
    <w:name w:val="Body Text"/>
    <w:basedOn w:val="1"/>
    <w:semiHidden/>
    <w:qFormat/>
    <w:uiPriority w:val="0"/>
    <w:rPr>
      <w:rFonts w:ascii="仿宋" w:hAnsi="仿宋" w:eastAsia="仿宋" w:cs="仿宋"/>
      <w:sz w:val="28"/>
      <w:szCs w:val="28"/>
      <w:lang w:eastAsia="en-US"/>
    </w:rPr>
  </w:style>
  <w:style w:type="paragraph" w:styleId="5">
    <w:name w:val="footer"/>
    <w:basedOn w:val="1"/>
    <w:link w:val="13"/>
    <w:qFormat/>
    <w:uiPriority w:val="0"/>
    <w:pPr>
      <w:tabs>
        <w:tab w:val="center" w:pos="4153"/>
        <w:tab w:val="right" w:pos="8306"/>
      </w:tabs>
      <w:snapToGrid w:val="0"/>
      <w:jc w:val="left"/>
    </w:pPr>
    <w:rPr>
      <w:sz w:val="18"/>
      <w:szCs w:val="18"/>
    </w:rPr>
  </w:style>
  <w:style w:type="paragraph" w:styleId="6">
    <w:name w:val="header"/>
    <w:basedOn w:val="1"/>
    <w:link w:val="12"/>
    <w:qFormat/>
    <w:uiPriority w:val="0"/>
    <w:pPr>
      <w:tabs>
        <w:tab w:val="center" w:pos="4153"/>
        <w:tab w:val="right" w:pos="8306"/>
      </w:tabs>
      <w:snapToGrid w:val="0"/>
      <w:jc w:val="center"/>
    </w:pPr>
    <w:rPr>
      <w:sz w:val="18"/>
      <w:szCs w:val="18"/>
    </w:rPr>
  </w:style>
  <w:style w:type="paragraph" w:styleId="7">
    <w:name w:val="Normal (Web)"/>
    <w:basedOn w:val="1"/>
    <w:qFormat/>
    <w:uiPriority w:val="0"/>
    <w:pPr>
      <w:spacing w:beforeAutospacing="1" w:afterAutospacing="1"/>
      <w:jc w:val="left"/>
    </w:pPr>
    <w:rPr>
      <w:rFonts w:cs="Times New Roman"/>
      <w:kern w:val="0"/>
      <w:sz w:val="24"/>
    </w:rPr>
  </w:style>
  <w:style w:type="character" w:styleId="10">
    <w:name w:val="Strong"/>
    <w:basedOn w:val="9"/>
    <w:qFormat/>
    <w:uiPriority w:val="0"/>
    <w:rPr>
      <w:b/>
    </w:rPr>
  </w:style>
  <w:style w:type="paragraph" w:customStyle="1" w:styleId="11">
    <w:name w:val="标准文件_段"/>
    <w:qFormat/>
    <w:uiPriority w:val="0"/>
    <w:pPr>
      <w:autoSpaceDE w:val="0"/>
      <w:autoSpaceDN w:val="0"/>
      <w:ind w:firstLine="200" w:firstLineChars="200"/>
      <w:jc w:val="both"/>
    </w:pPr>
    <w:rPr>
      <w:rFonts w:ascii="Times New Roman" w:hAnsi="Times New Roman" w:eastAsia="宋体" w:cs="Times New Roman"/>
      <w:sz w:val="21"/>
      <w:lang w:val="en-US" w:eastAsia="zh-CN" w:bidi="ar-SA"/>
    </w:rPr>
  </w:style>
  <w:style w:type="character" w:customStyle="1" w:styleId="12">
    <w:name w:val="页眉 字符"/>
    <w:basedOn w:val="9"/>
    <w:link w:val="6"/>
    <w:qFormat/>
    <w:uiPriority w:val="0"/>
    <w:rPr>
      <w:rFonts w:asciiTheme="minorHAnsi" w:hAnsiTheme="minorHAnsi" w:eastAsiaTheme="minorEastAsia" w:cstheme="minorBidi"/>
      <w:kern w:val="2"/>
      <w:sz w:val="18"/>
      <w:szCs w:val="18"/>
    </w:rPr>
  </w:style>
  <w:style w:type="character" w:customStyle="1" w:styleId="13">
    <w:name w:val="页脚 字符"/>
    <w:basedOn w:val="9"/>
    <w:link w:val="5"/>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5</Pages>
  <Words>3861</Words>
  <Characters>3993</Characters>
  <Lines>27</Lines>
  <Paragraphs>7</Paragraphs>
  <TotalTime>7</TotalTime>
  <ScaleCrop>false</ScaleCrop>
  <LinksUpToDate>false</LinksUpToDate>
  <CharactersWithSpaces>4031</CharactersWithSpaces>
  <Application>WPS Office_12.1.0.22089_F1E327BC-269C-435d-A152-05C5408002CA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2025-08-12T01:18:00Z</dcterms:created>
  <dc:creator>乔南一</dc:creator>
  <cp:lastModifiedBy>WPS_1742196473</cp:lastModifiedBy>
  <dcterms:modified xsi:type="dcterms:W3CDTF">2025-09-02T07:55:09Z</dcterms:modified>
  <cp:revision>45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2052-12.1.0.22089</vt:lpwstr>
  </property>
  <property fmtid="{D5CDD505-2E9C-101B-9397-08002B2CF9AE}" pid="3" name="ICV">
    <vt:lpwstr>45F5BE2C02164B8B9F658D554CAC5A85_13</vt:lpwstr>
  </property>
  <property fmtid="{D5CDD505-2E9C-101B-9397-08002B2CF9AE}" pid="4" name="KSOTemplateDocerSaveRecord">
    <vt:lpwstr>eyJoZGlkIjoiZmQ3Njg4NzQwNzMyMWFiZmQ0MTY0MGI5YzI0NTg2NjgiLCJ1c2VySWQiOiI0MjQzNzI5MzAifQ==</vt:lpwstr>
  </property>
</Properties>
</file>