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F32F14">
      <w:pPr>
        <w:widowControl/>
        <w:jc w:val="left"/>
        <w:rPr>
          <w:rFonts w:hint="eastAsia" w:asciiTheme="majorEastAsia" w:hAnsiTheme="majorEastAsia" w:eastAsiaTheme="majorEastAsia"/>
          <w:b/>
        </w:rPr>
      </w:pPr>
      <w:r>
        <w:rPr>
          <w:rFonts w:hint="eastAsia" w:asciiTheme="majorEastAsia" w:hAnsiTheme="majorEastAsia" w:eastAsiaTheme="majorEastAsia"/>
        </w:rPr>
        <w:t>ICS 号</w:t>
      </w:r>
    </w:p>
    <w:p w14:paraId="4A61FE63">
      <w:pPr>
        <w:rPr>
          <w:rFonts w:hint="eastAsia" w:asciiTheme="majorEastAsia" w:hAnsiTheme="majorEastAsia" w:eastAsiaTheme="majorEastAsia"/>
        </w:rPr>
      </w:pPr>
      <w:r>
        <w:rPr>
          <w:rFonts w:hint="eastAsia" w:asciiTheme="majorEastAsia" w:hAnsiTheme="majorEastAsia" w:eastAsiaTheme="majorEastAsia"/>
        </w:rPr>
        <w:t>中国标准文献分类号</w:t>
      </w:r>
    </w:p>
    <w:p w14:paraId="2C68F9ED"/>
    <w:p w14:paraId="5248CA65"/>
    <w:p w14:paraId="4D89619A">
      <w:pPr>
        <w:pStyle w:val="2"/>
        <w:jc w:val="center"/>
        <w:rPr>
          <w:rFonts w:hint="eastAsia" w:ascii="华文中宋" w:hAnsi="华文中宋" w:eastAsia="华文中宋"/>
          <w:sz w:val="10"/>
          <w:szCs w:val="10"/>
        </w:rPr>
      </w:pPr>
      <w:r>
        <w:rPr>
          <w:rFonts w:hint="eastAsia" w:ascii="华文中宋" w:hAnsi="华文中宋" w:eastAsia="华文中宋"/>
          <w:sz w:val="84"/>
          <w:szCs w:val="84"/>
        </w:rPr>
        <w:t>团体标准</w:t>
      </w:r>
    </w:p>
    <w:p w14:paraId="2A7233C7">
      <w:pPr>
        <w:pBdr>
          <w:bottom w:val="single" w:color="auto" w:sz="6" w:space="1"/>
        </w:pBdr>
        <w:wordWrap w:val="0"/>
        <w:jc w:val="right"/>
        <w:rPr>
          <w:rFonts w:eastAsiaTheme="majorEastAsia"/>
        </w:rPr>
      </w:pPr>
      <w:bookmarkStart w:id="4" w:name="_GoBack"/>
      <w:r>
        <w:rPr>
          <w:rFonts w:hint="eastAsia" w:eastAsiaTheme="majorEastAsia"/>
        </w:rPr>
        <w:t>T</w:t>
      </w:r>
      <w:r>
        <w:rPr>
          <w:rFonts w:eastAsiaTheme="majorEastAsia"/>
        </w:rPr>
        <w:t xml:space="preserve">/CIQA </w:t>
      </w:r>
      <w:r>
        <w:rPr>
          <w:rFonts w:hint="eastAsia" w:eastAsiaTheme="majorEastAsia"/>
        </w:rPr>
        <w:t>178</w:t>
      </w:r>
      <w:r>
        <w:rPr>
          <w:rFonts w:eastAsiaTheme="majorEastAsia"/>
        </w:rPr>
        <w:t xml:space="preserve"> - 202</w:t>
      </w:r>
      <w:r>
        <w:rPr>
          <w:rFonts w:hint="eastAsia" w:eastAsiaTheme="majorEastAsia"/>
        </w:rPr>
        <w:t>4</w:t>
      </w:r>
    </w:p>
    <w:bookmarkEnd w:id="4"/>
    <w:p w14:paraId="7A39232B"/>
    <w:p w14:paraId="7D072C91"/>
    <w:p w14:paraId="1745B1F0"/>
    <w:p w14:paraId="67C7F005"/>
    <w:p w14:paraId="7C4FD39E"/>
    <w:p w14:paraId="1D765281"/>
    <w:p w14:paraId="5F47ED50"/>
    <w:p w14:paraId="6567F6B8">
      <w:pPr>
        <w:jc w:val="center"/>
        <w:rPr>
          <w:b/>
          <w:sz w:val="44"/>
          <w:szCs w:val="44"/>
        </w:rPr>
      </w:pPr>
      <w:r>
        <w:rPr>
          <w:rFonts w:hint="eastAsia"/>
          <w:b/>
          <w:sz w:val="44"/>
          <w:szCs w:val="44"/>
        </w:rPr>
        <w:t xml:space="preserve">锂辉石中氧化锂和三氧化二铁含量的测定  </w:t>
      </w:r>
    </w:p>
    <w:p w14:paraId="6070D6D2">
      <w:pPr>
        <w:jc w:val="center"/>
        <w:rPr>
          <w:b/>
          <w:sz w:val="44"/>
          <w:szCs w:val="44"/>
        </w:rPr>
      </w:pPr>
      <w:r>
        <w:rPr>
          <w:rFonts w:hint="eastAsia"/>
          <w:b/>
          <w:sz w:val="44"/>
          <w:szCs w:val="44"/>
        </w:rPr>
        <w:t>电感耦合等离子体原子发射光谱法</w:t>
      </w:r>
    </w:p>
    <w:p w14:paraId="63EE184B">
      <w:pPr>
        <w:jc w:val="center"/>
        <w:rPr>
          <w:b/>
          <w:sz w:val="26"/>
          <w:szCs w:val="26"/>
        </w:rPr>
      </w:pPr>
      <w:r>
        <w:rPr>
          <w:rFonts w:hint="eastAsia"/>
          <w:b/>
          <w:sz w:val="26"/>
          <w:szCs w:val="26"/>
        </w:rPr>
        <w:t>Determination of lithium oxide and ferric oxide content in spodumene—Inductively coupled plasma atomic emission spectroscopy</w:t>
      </w:r>
    </w:p>
    <w:p w14:paraId="4026E590">
      <w:pPr>
        <w:jc w:val="center"/>
        <w:rPr>
          <w:b/>
          <w:sz w:val="24"/>
        </w:rPr>
      </w:pPr>
    </w:p>
    <w:p w14:paraId="2F41A9DE">
      <w:pPr>
        <w:jc w:val="center"/>
        <w:rPr>
          <w:b/>
          <w:sz w:val="24"/>
        </w:rPr>
      </w:pPr>
      <w:r>
        <w:rPr>
          <w:rFonts w:hint="eastAsia"/>
          <w:b/>
          <w:sz w:val="24"/>
        </w:rPr>
        <w:t>（报批稿）</w:t>
      </w:r>
    </w:p>
    <w:p w14:paraId="051E7A5A">
      <w:pPr>
        <w:jc w:val="center"/>
        <w:rPr>
          <w:b/>
        </w:rPr>
      </w:pPr>
    </w:p>
    <w:p w14:paraId="7D4873DB">
      <w:pPr>
        <w:jc w:val="center"/>
      </w:pPr>
    </w:p>
    <w:p w14:paraId="5F919C5B">
      <w:pPr>
        <w:jc w:val="center"/>
      </w:pPr>
    </w:p>
    <w:p w14:paraId="70283C60">
      <w:pPr>
        <w:jc w:val="center"/>
      </w:pPr>
    </w:p>
    <w:p w14:paraId="52A12F9A">
      <w:pPr>
        <w:jc w:val="center"/>
      </w:pPr>
    </w:p>
    <w:p w14:paraId="0CAC032F">
      <w:pPr>
        <w:jc w:val="center"/>
      </w:pPr>
    </w:p>
    <w:p w14:paraId="3E02EC8E">
      <w:pPr>
        <w:jc w:val="center"/>
      </w:pPr>
    </w:p>
    <w:p w14:paraId="1139CC32">
      <w:pPr>
        <w:jc w:val="center"/>
      </w:pPr>
    </w:p>
    <w:p w14:paraId="715B4E03">
      <w:pPr>
        <w:jc w:val="center"/>
      </w:pPr>
    </w:p>
    <w:p w14:paraId="56CCBD9A">
      <w:pPr>
        <w:jc w:val="center"/>
      </w:pPr>
    </w:p>
    <w:p w14:paraId="0792A82C">
      <w:pPr>
        <w:jc w:val="center"/>
      </w:pPr>
    </w:p>
    <w:p w14:paraId="204A50B1">
      <w:pPr>
        <w:jc w:val="center"/>
      </w:pPr>
    </w:p>
    <w:p w14:paraId="5E064C53">
      <w:pPr>
        <w:jc w:val="center"/>
      </w:pPr>
    </w:p>
    <w:p w14:paraId="32AAE492">
      <w:pPr>
        <w:jc w:val="center"/>
      </w:pPr>
    </w:p>
    <w:p w14:paraId="610F7567">
      <w:pPr>
        <w:jc w:val="center"/>
      </w:pPr>
    </w:p>
    <w:p w14:paraId="2917CB62">
      <w:pPr>
        <w:jc w:val="left"/>
        <w:rPr>
          <w:sz w:val="28"/>
          <w:szCs w:val="28"/>
          <w:u w:val="single"/>
        </w:rPr>
      </w:pPr>
      <w:r>
        <w:rPr>
          <w:rFonts w:hint="eastAsia"/>
          <w:sz w:val="28"/>
          <w:szCs w:val="28"/>
          <w:u w:val="single"/>
        </w:rPr>
        <w:t>2025-XX-XX 发布                           2026-XX-XX实施</w:t>
      </w:r>
    </w:p>
    <w:p w14:paraId="10E235B6">
      <w:pPr>
        <w:jc w:val="center"/>
        <w:rPr>
          <w:sz w:val="32"/>
          <w:szCs w:val="32"/>
        </w:rPr>
      </w:pPr>
      <w:r>
        <w:rPr>
          <w:rFonts w:hint="eastAsia"/>
          <w:sz w:val="32"/>
          <w:szCs w:val="32"/>
        </w:rPr>
        <w:t>中国出入境检验检疫协会发布</w:t>
      </w:r>
    </w:p>
    <w:p w14:paraId="5133490E">
      <w:pPr>
        <w:jc w:val="center"/>
        <w:rPr>
          <w:sz w:val="32"/>
          <w:szCs w:val="32"/>
        </w:rPr>
        <w:sectPr>
          <w:pgSz w:w="11906" w:h="16838"/>
          <w:pgMar w:top="1440" w:right="1800" w:bottom="1440" w:left="1800" w:header="851" w:footer="992" w:gutter="0"/>
          <w:cols w:space="425" w:num="1"/>
          <w:docGrid w:type="lines" w:linePitch="312" w:charSpace="0"/>
        </w:sectPr>
      </w:pPr>
    </w:p>
    <w:p w14:paraId="378671EE">
      <w:pPr>
        <w:jc w:val="center"/>
        <w:rPr>
          <w:sz w:val="32"/>
          <w:szCs w:val="32"/>
        </w:rPr>
      </w:pPr>
      <w:r>
        <w:rPr>
          <w:rFonts w:hint="eastAsia"/>
          <w:sz w:val="32"/>
          <w:szCs w:val="32"/>
        </w:rPr>
        <w:t>前言</w:t>
      </w:r>
    </w:p>
    <w:p w14:paraId="3BCD9B1E">
      <w:pPr>
        <w:pStyle w:val="8"/>
        <w:spacing w:line="360" w:lineRule="auto"/>
        <w:ind w:firstLine="420"/>
        <w:rPr>
          <w:rFonts w:ascii="Times New Roman" w:hAnsi="Times New Roman"/>
        </w:rPr>
      </w:pPr>
      <w:r>
        <w:rPr>
          <w:rFonts w:ascii="Times New Roman" w:hAnsi="Times New Roman"/>
        </w:rPr>
        <w:t>本</w:t>
      </w:r>
      <w:r>
        <w:rPr>
          <w:rFonts w:hint="eastAsia" w:ascii="Times New Roman" w:hAnsi="Times New Roman"/>
        </w:rPr>
        <w:t>文件</w:t>
      </w:r>
      <w:r>
        <w:rPr>
          <w:rFonts w:ascii="Times New Roman" w:hAnsi="Times New Roman"/>
        </w:rPr>
        <w:t>按照</w:t>
      </w:r>
      <w:bookmarkStart w:id="0" w:name="OLE_LINK13"/>
      <w:bookmarkStart w:id="1" w:name="OLE_LINK14"/>
      <w:r>
        <w:rPr>
          <w:rFonts w:ascii="Times New Roman" w:hAnsi="Times New Roman"/>
        </w:rPr>
        <w:t>GB/T 1.1</w:t>
      </w:r>
      <w:bookmarkEnd w:id="0"/>
      <w:bookmarkEnd w:id="1"/>
      <w:r>
        <w:rPr>
          <w:rFonts w:ascii="Times New Roman" w:hAnsi="Times New Roman"/>
        </w:rPr>
        <w:t>-2020</w:t>
      </w:r>
      <w:r>
        <w:rPr>
          <w:rFonts w:hint="eastAsia" w:ascii="Times New Roman" w:hAnsi="Times New Roman"/>
        </w:rPr>
        <w:t>《标准化工作导则  第1部分：标准化文件的结构和起草规则》</w:t>
      </w:r>
      <w:r>
        <w:rPr>
          <w:rFonts w:ascii="Times New Roman" w:hAnsi="Times New Roman"/>
        </w:rPr>
        <w:t>的规</w:t>
      </w:r>
      <w:r>
        <w:rPr>
          <w:rFonts w:hint="eastAsia" w:ascii="Times New Roman" w:hAnsi="Times New Roman"/>
        </w:rPr>
        <w:t>定</w:t>
      </w:r>
      <w:r>
        <w:rPr>
          <w:rFonts w:ascii="Times New Roman" w:hAnsi="Times New Roman"/>
        </w:rPr>
        <w:t>起草。</w:t>
      </w:r>
    </w:p>
    <w:p w14:paraId="59C497B4">
      <w:pPr>
        <w:pStyle w:val="8"/>
        <w:ind w:firstLine="420"/>
        <w:rPr>
          <w:rFonts w:ascii="Times New Roman" w:hAnsi="Times New Roman"/>
        </w:rPr>
      </w:pPr>
      <w:r>
        <w:rPr>
          <w:rFonts w:ascii="Times New Roman" w:hAnsi="Times New Roman"/>
        </w:rPr>
        <w:t>请注意本文件的某些内容可能涉及专利。本文件的发布机构不承担识别专利的责任。</w:t>
      </w:r>
    </w:p>
    <w:p w14:paraId="65FCAB01">
      <w:pPr>
        <w:pStyle w:val="8"/>
        <w:spacing w:line="360" w:lineRule="auto"/>
        <w:ind w:firstLine="420"/>
        <w:rPr>
          <w:rFonts w:ascii="Times New Roman" w:hAnsi="Times New Roman"/>
          <w:szCs w:val="21"/>
        </w:rPr>
      </w:pPr>
      <w:r>
        <w:rPr>
          <w:rFonts w:ascii="Times New Roman" w:hAnsi="Times New Roman"/>
          <w:szCs w:val="21"/>
        </w:rPr>
        <w:t>本</w:t>
      </w:r>
      <w:r>
        <w:rPr>
          <w:rFonts w:hint="eastAsia" w:ascii="Times New Roman" w:hAnsi="Times New Roman"/>
          <w:szCs w:val="21"/>
        </w:rPr>
        <w:t>文件</w:t>
      </w:r>
      <w:r>
        <w:rPr>
          <w:rFonts w:ascii="Times New Roman" w:hAnsi="Times New Roman"/>
          <w:szCs w:val="21"/>
        </w:rPr>
        <w:t>由</w:t>
      </w:r>
      <w:r>
        <w:rPr>
          <w:rFonts w:hint="eastAsia" w:ascii="Times New Roman" w:hAnsi="Times New Roman"/>
          <w:szCs w:val="21"/>
        </w:rPr>
        <w:t>中国出入境检验检疫协会</w:t>
      </w:r>
      <w:r>
        <w:rPr>
          <w:rFonts w:ascii="Times New Roman" w:hAnsi="Times New Roman"/>
          <w:szCs w:val="21"/>
        </w:rPr>
        <w:t>提出</w:t>
      </w:r>
      <w:r>
        <w:rPr>
          <w:rFonts w:hint="eastAsia" w:ascii="Times New Roman" w:hAnsi="Times New Roman"/>
          <w:szCs w:val="21"/>
        </w:rPr>
        <w:t>并归口</w:t>
      </w:r>
      <w:r>
        <w:rPr>
          <w:rFonts w:ascii="Times New Roman" w:hAnsi="Times New Roman"/>
          <w:szCs w:val="21"/>
        </w:rPr>
        <w:t>。</w:t>
      </w:r>
    </w:p>
    <w:p w14:paraId="293944AB">
      <w:pPr>
        <w:pStyle w:val="8"/>
        <w:spacing w:line="360" w:lineRule="auto"/>
        <w:ind w:firstLine="420"/>
        <w:rPr>
          <w:rFonts w:ascii="Times New Roman" w:hAnsi="Times New Roman"/>
          <w:szCs w:val="24"/>
        </w:rPr>
      </w:pPr>
      <w:r>
        <w:rPr>
          <w:rFonts w:ascii="Times New Roman" w:hAnsi="Times New Roman"/>
          <w:szCs w:val="21"/>
        </w:rPr>
        <w:t>本</w:t>
      </w:r>
      <w:r>
        <w:rPr>
          <w:rFonts w:hint="eastAsia" w:ascii="Times New Roman" w:hAnsi="Times New Roman"/>
          <w:szCs w:val="21"/>
        </w:rPr>
        <w:t>文件</w:t>
      </w:r>
      <w:r>
        <w:rPr>
          <w:rFonts w:ascii="Times New Roman" w:hAnsi="Times New Roman"/>
          <w:szCs w:val="21"/>
        </w:rPr>
        <w:t>起草单位：</w:t>
      </w:r>
      <w:r>
        <w:rPr>
          <w:rFonts w:hint="eastAsia" w:ascii="Times New Roman" w:hAnsi="Times New Roman"/>
          <w:szCs w:val="24"/>
        </w:rPr>
        <w:t>张家港检验认证有限公司、张家港海关综合技术中心、中国检验认证集团江苏有限公司。</w:t>
      </w:r>
    </w:p>
    <w:p w14:paraId="150C1EE7">
      <w:pPr>
        <w:pStyle w:val="8"/>
        <w:spacing w:line="360" w:lineRule="auto"/>
        <w:ind w:firstLine="420"/>
        <w:rPr>
          <w:rFonts w:ascii="Times New Roman" w:hAnsi="Times New Roman"/>
          <w:szCs w:val="21"/>
        </w:rPr>
      </w:pPr>
      <w:r>
        <w:rPr>
          <w:rFonts w:ascii="Times New Roman" w:hAnsi="Times New Roman"/>
          <w:szCs w:val="21"/>
        </w:rPr>
        <w:t>本</w:t>
      </w:r>
      <w:r>
        <w:rPr>
          <w:rFonts w:hint="eastAsia" w:ascii="Times New Roman" w:hAnsi="Times New Roman"/>
          <w:szCs w:val="21"/>
        </w:rPr>
        <w:t>文件</w:t>
      </w:r>
      <w:r>
        <w:rPr>
          <w:rFonts w:ascii="Times New Roman" w:hAnsi="Times New Roman"/>
          <w:szCs w:val="21"/>
        </w:rPr>
        <w:t>主要起草人：</w:t>
      </w:r>
      <w:r>
        <w:rPr>
          <w:rFonts w:hint="eastAsia" w:ascii="Times New Roman" w:hAnsi="Times New Roman"/>
          <w:szCs w:val="21"/>
        </w:rPr>
        <w:t>郑光煜、卢志琴、姚洵、刘海珍、顾振浩、江金尧。</w:t>
      </w:r>
    </w:p>
    <w:p w14:paraId="0D0A4209">
      <w:pPr>
        <w:pStyle w:val="10"/>
        <w:spacing w:before="0"/>
        <w:rPr>
          <w:rFonts w:ascii="Times New Roman" w:hAnsi="Times New Roman" w:eastAsia="黑体" w:cs="Times New Roman"/>
          <w:sz w:val="32"/>
          <w:szCs w:val="21"/>
        </w:rPr>
        <w:sectPr>
          <w:headerReference r:id="rId3" w:type="default"/>
          <w:pgSz w:w="11906" w:h="16838"/>
          <w:pgMar w:top="1440" w:right="1800" w:bottom="1440" w:left="1800" w:header="851" w:footer="992" w:gutter="0"/>
          <w:pgNumType w:start="1"/>
          <w:cols w:space="425" w:num="1"/>
          <w:docGrid w:type="lines" w:linePitch="312" w:charSpace="0"/>
        </w:sectPr>
      </w:pPr>
    </w:p>
    <w:p w14:paraId="5D941CFF">
      <w:pPr>
        <w:pStyle w:val="10"/>
        <w:spacing w:before="0"/>
        <w:rPr>
          <w:rFonts w:ascii="Times New Roman" w:hAnsi="Times New Roman" w:eastAsia="黑体" w:cs="Times New Roman"/>
          <w:sz w:val="32"/>
          <w:szCs w:val="21"/>
        </w:rPr>
      </w:pPr>
      <w:r>
        <w:rPr>
          <w:rFonts w:hint="eastAsia" w:ascii="Times New Roman" w:hAnsi="Times New Roman" w:eastAsia="黑体" w:cs="Times New Roman"/>
          <w:sz w:val="32"/>
          <w:szCs w:val="21"/>
        </w:rPr>
        <w:t xml:space="preserve">锂辉石中氧化锂和三氧化二铁含量的测定  </w:t>
      </w:r>
    </w:p>
    <w:p w14:paraId="162958A7">
      <w:pPr>
        <w:pStyle w:val="10"/>
        <w:spacing w:before="0"/>
        <w:rPr>
          <w:rFonts w:ascii="Times New Roman" w:hAnsi="Times New Roman" w:eastAsia="黑体" w:cs="Times New Roman"/>
          <w:sz w:val="32"/>
          <w:szCs w:val="21"/>
        </w:rPr>
      </w:pPr>
      <w:r>
        <w:rPr>
          <w:rFonts w:hint="eastAsia" w:ascii="Times New Roman" w:hAnsi="Times New Roman" w:eastAsia="黑体" w:cs="Times New Roman"/>
          <w:sz w:val="32"/>
          <w:szCs w:val="21"/>
        </w:rPr>
        <w:t>电感耦合等离子体原子发射光谱法</w:t>
      </w:r>
    </w:p>
    <w:p w14:paraId="4B3AB55E">
      <w:pPr>
        <w:pStyle w:val="9"/>
        <w:spacing w:before="312" w:beforeLines="100" w:after="312" w:afterLines="100"/>
        <w:rPr>
          <w:rFonts w:ascii="Times New Roman" w:hAnsi="Times New Roman"/>
          <w:sz w:val="24"/>
          <w:szCs w:val="24"/>
        </w:rPr>
      </w:pPr>
      <w:r>
        <w:rPr>
          <w:rFonts w:ascii="Times New Roman" w:hAnsi="Times New Roman"/>
          <w:sz w:val="24"/>
          <w:szCs w:val="24"/>
        </w:rPr>
        <w:t>范围</w:t>
      </w:r>
    </w:p>
    <w:p w14:paraId="264CA18E">
      <w:pPr>
        <w:pStyle w:val="8"/>
        <w:tabs>
          <w:tab w:val="center" w:pos="4201"/>
          <w:tab w:val="right" w:leader="dot" w:pos="9298"/>
        </w:tabs>
        <w:ind w:firstLine="420"/>
        <w:rPr>
          <w:rFonts w:ascii="Times New Roman" w:hAnsi="Times New Roman"/>
          <w:color w:val="000000"/>
          <w:szCs w:val="21"/>
          <w:shd w:val="clear" w:color="auto" w:fill="FFFFFF"/>
        </w:rPr>
      </w:pPr>
      <w:bookmarkStart w:id="2" w:name="_Hlk25744285"/>
      <w:r>
        <w:rPr>
          <w:rFonts w:hint="eastAsia" w:ascii="Times New Roman" w:hAnsi="Times New Roman"/>
          <w:color w:val="000000"/>
          <w:szCs w:val="21"/>
          <w:shd w:val="clear" w:color="auto" w:fill="FFFFFF"/>
        </w:rPr>
        <w:t>本文件规定了锂辉石中氧化锂和三氧化二铁含量的测定方法。</w:t>
      </w:r>
    </w:p>
    <w:p w14:paraId="64DE8639">
      <w:pPr>
        <w:pStyle w:val="8"/>
        <w:tabs>
          <w:tab w:val="center" w:pos="4201"/>
          <w:tab w:val="right" w:leader="dot" w:pos="9298"/>
        </w:tabs>
        <w:ind w:firstLine="420"/>
        <w:rPr>
          <w:rFonts w:ascii="Times New Roman" w:hAnsi="Times New Roman"/>
          <w:szCs w:val="21"/>
          <w:shd w:val="clear" w:color="auto" w:fill="FFFFFF"/>
        </w:rPr>
      </w:pPr>
      <w:r>
        <w:rPr>
          <w:rFonts w:hint="eastAsia" w:ascii="Times New Roman" w:hAnsi="Times New Roman"/>
          <w:color w:val="000000"/>
          <w:szCs w:val="21"/>
          <w:shd w:val="clear" w:color="auto" w:fill="FFFFFF"/>
        </w:rPr>
        <w:t>本文件适用于锂辉石中氧化锂和三氧化二铁含量的测定。测定范围：</w:t>
      </w:r>
      <w:r>
        <w:rPr>
          <w:rFonts w:hint="eastAsia" w:ascii="Times New Roman" w:hAnsi="Times New Roman"/>
          <w:szCs w:val="21"/>
          <w:shd w:val="clear" w:color="auto" w:fill="FFFFFF"/>
        </w:rPr>
        <w:t>氧化锂；1.00-7.00%;三氧化二铁:0.30-2.00%</w:t>
      </w:r>
    </w:p>
    <w:p w14:paraId="47D0170B">
      <w:pPr>
        <w:pStyle w:val="9"/>
        <w:spacing w:before="312" w:beforeLines="100" w:after="312" w:afterLines="100"/>
        <w:rPr>
          <w:rFonts w:ascii="Times New Roman" w:hAnsi="Times New Roman"/>
          <w:sz w:val="24"/>
          <w:szCs w:val="24"/>
        </w:rPr>
      </w:pPr>
      <w:r>
        <w:rPr>
          <w:rFonts w:ascii="Times New Roman" w:hAnsi="Times New Roman"/>
          <w:sz w:val="24"/>
          <w:szCs w:val="24"/>
        </w:rPr>
        <w:t>规范性引用文件</w:t>
      </w:r>
    </w:p>
    <w:p w14:paraId="1510CEC6">
      <w:pPr>
        <w:pStyle w:val="8"/>
        <w:tabs>
          <w:tab w:val="center" w:pos="4201"/>
          <w:tab w:val="right" w:leader="dot" w:pos="9298"/>
        </w:tabs>
        <w:ind w:firstLine="420"/>
        <w:rPr>
          <w:rFonts w:ascii="Times New Roman" w:hAnsi="Times New Roman"/>
          <w:color w:val="000000"/>
          <w:szCs w:val="21"/>
          <w:shd w:val="clear" w:color="auto" w:fill="FFFFFF"/>
        </w:rPr>
      </w:pPr>
      <w:r>
        <w:rPr>
          <w:rFonts w:ascii="Times New Roman" w:hAnsi="Times New Roman"/>
          <w:color w:val="000000"/>
          <w:szCs w:val="21"/>
          <w:shd w:val="clear" w:color="auto" w:fill="FFFFFF"/>
        </w:rPr>
        <w:t>下列文件中的内容通过文中的规范性引用而构成本文件必不可少的条款</w:t>
      </w:r>
      <w:r>
        <w:rPr>
          <w:rFonts w:hint="eastAsia" w:ascii="Times New Roman" w:hAnsi="Times New Roman"/>
          <w:color w:val="000000"/>
          <w:szCs w:val="21"/>
          <w:shd w:val="clear" w:color="auto" w:fill="FFFFFF"/>
        </w:rPr>
        <w:t>。其中，</w:t>
      </w:r>
      <w:r>
        <w:rPr>
          <w:rFonts w:ascii="Times New Roman" w:hAnsi="Times New Roman"/>
          <w:color w:val="000000"/>
          <w:szCs w:val="21"/>
          <w:shd w:val="clear" w:color="auto" w:fill="FFFFFF"/>
        </w:rPr>
        <w:t>注日期的引用文件</w:t>
      </w:r>
      <w:r>
        <w:rPr>
          <w:rFonts w:hint="eastAsia" w:ascii="Times New Roman" w:hAnsi="Times New Roman"/>
          <w:color w:val="000000"/>
          <w:szCs w:val="21"/>
          <w:shd w:val="clear" w:color="auto" w:fill="FFFFFF"/>
        </w:rPr>
        <w:t>，该</w:t>
      </w:r>
      <w:r>
        <w:rPr>
          <w:rFonts w:ascii="Times New Roman" w:hAnsi="Times New Roman"/>
          <w:color w:val="000000"/>
          <w:szCs w:val="21"/>
          <w:shd w:val="clear" w:color="auto" w:fill="FFFFFF"/>
        </w:rPr>
        <w:t>日期对应的版本适用于本文件</w:t>
      </w:r>
      <w:r>
        <w:rPr>
          <w:rFonts w:hint="eastAsia" w:ascii="Times New Roman" w:hAnsi="Times New Roman"/>
          <w:color w:val="000000"/>
          <w:szCs w:val="21"/>
          <w:shd w:val="clear" w:color="auto" w:fill="FFFFFF"/>
        </w:rPr>
        <w:t>；</w:t>
      </w:r>
      <w:r>
        <w:rPr>
          <w:rFonts w:ascii="Times New Roman" w:hAnsi="Times New Roman"/>
          <w:color w:val="000000"/>
          <w:szCs w:val="21"/>
          <w:shd w:val="clear" w:color="auto" w:fill="FFFFFF"/>
        </w:rPr>
        <w:t>不注日期的引用文件，其最新版本（包括所有的修改单）适用于本文件。</w:t>
      </w:r>
    </w:p>
    <w:p w14:paraId="40D94A3C">
      <w:pPr>
        <w:pStyle w:val="8"/>
        <w:tabs>
          <w:tab w:val="center" w:pos="4201"/>
          <w:tab w:val="right" w:leader="dot" w:pos="9298"/>
        </w:tabs>
        <w:ind w:firstLine="420"/>
        <w:rPr>
          <w:rFonts w:ascii="Times New Roman" w:hAnsi="Times New Roman"/>
          <w:color w:val="000000"/>
          <w:szCs w:val="21"/>
          <w:shd w:val="clear" w:color="auto" w:fill="FFFFFF"/>
        </w:rPr>
      </w:pPr>
      <w:r>
        <w:rPr>
          <w:rFonts w:ascii="Times New Roman" w:hAnsi="Times New Roman"/>
          <w:color w:val="000000"/>
          <w:szCs w:val="21"/>
          <w:shd w:val="clear" w:color="auto" w:fill="FFFFFF"/>
        </w:rPr>
        <w:t>GB/T 6682  分析实验室用水规格和试验方法</w:t>
      </w:r>
    </w:p>
    <w:p w14:paraId="6B01C480">
      <w:pPr>
        <w:pStyle w:val="9"/>
        <w:spacing w:before="312" w:beforeLines="100" w:after="312" w:afterLines="100"/>
        <w:rPr>
          <w:rFonts w:ascii="Times New Roman" w:hAnsi="Times New Roman"/>
          <w:sz w:val="24"/>
          <w:szCs w:val="24"/>
        </w:rPr>
      </w:pPr>
      <w:r>
        <w:rPr>
          <w:rFonts w:hint="eastAsia" w:ascii="Times New Roman" w:hAnsi="Times New Roman"/>
          <w:sz w:val="24"/>
          <w:szCs w:val="24"/>
        </w:rPr>
        <w:t>方法提要</w:t>
      </w:r>
    </w:p>
    <w:p w14:paraId="3DDC4123">
      <w:pPr>
        <w:pStyle w:val="8"/>
        <w:tabs>
          <w:tab w:val="center" w:pos="4201"/>
          <w:tab w:val="right" w:leader="dot" w:pos="9298"/>
        </w:tabs>
        <w:ind w:firstLine="420"/>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试样经氢氟酸-硝酸-硫酸分解，定容后，于电感耦合等离子体原子发射光谱仪特征波长处测定氧化锂和三氧化二铁含量。</w:t>
      </w:r>
    </w:p>
    <w:p w14:paraId="45BB9F13">
      <w:pPr>
        <w:pStyle w:val="9"/>
        <w:spacing w:before="312" w:beforeLines="100" w:after="312" w:afterLines="100"/>
        <w:rPr>
          <w:rFonts w:ascii="Times New Roman" w:hAnsi="Times New Roman"/>
          <w:sz w:val="24"/>
          <w:szCs w:val="24"/>
        </w:rPr>
      </w:pPr>
      <w:r>
        <w:rPr>
          <w:rFonts w:hint="eastAsia" w:ascii="Times New Roman" w:hAnsi="Times New Roman"/>
          <w:sz w:val="24"/>
          <w:szCs w:val="24"/>
        </w:rPr>
        <w:t>试剂</w:t>
      </w:r>
    </w:p>
    <w:bookmarkEnd w:id="2"/>
    <w:p w14:paraId="49D2810E">
      <w:pPr>
        <w:pStyle w:val="8"/>
        <w:tabs>
          <w:tab w:val="center" w:pos="4201"/>
          <w:tab w:val="right" w:leader="dot" w:pos="9298"/>
        </w:tabs>
        <w:ind w:firstLine="420"/>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除非另有说明，在分析中仅使用确认为分析纯的试剂和符合GB/T 6682中的三级水。</w:t>
      </w:r>
    </w:p>
    <w:p w14:paraId="2BADD82B">
      <w:pPr>
        <w:pStyle w:val="8"/>
        <w:tabs>
          <w:tab w:val="center" w:pos="4201"/>
          <w:tab w:val="right" w:leader="dot" w:pos="9298"/>
        </w:tabs>
        <w:ind w:firstLine="0" w:firstLineChars="0"/>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4.1 氢氟酸（</w:t>
      </w:r>
      <w:r>
        <w:rPr>
          <w:rFonts w:ascii="Times New Roman" w:hAnsi="Times New Roman"/>
          <w:color w:val="000000"/>
          <w:szCs w:val="21"/>
          <w:shd w:val="clear" w:color="auto" w:fill="FFFFFF"/>
        </w:rPr>
        <w:t>ρ</w:t>
      </w:r>
      <w:r>
        <w:rPr>
          <w:rFonts w:hint="eastAsia" w:ascii="Times New Roman" w:hAnsi="Times New Roman"/>
          <w:color w:val="000000"/>
          <w:szCs w:val="21"/>
          <w:shd w:val="clear" w:color="auto" w:fill="FFFFFF"/>
        </w:rPr>
        <w:t>=1.15 g/mL）</w:t>
      </w:r>
    </w:p>
    <w:p w14:paraId="474ABA8B">
      <w:pPr>
        <w:pStyle w:val="8"/>
        <w:tabs>
          <w:tab w:val="center" w:pos="4201"/>
          <w:tab w:val="right" w:leader="dot" w:pos="9298"/>
        </w:tabs>
        <w:ind w:firstLine="0" w:firstLineChars="0"/>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4.2 硝酸（</w:t>
      </w:r>
      <w:r>
        <w:rPr>
          <w:rFonts w:ascii="Times New Roman" w:hAnsi="Times New Roman"/>
          <w:color w:val="000000"/>
          <w:szCs w:val="21"/>
          <w:shd w:val="clear" w:color="auto" w:fill="FFFFFF"/>
        </w:rPr>
        <w:t>ρ</w:t>
      </w:r>
      <w:r>
        <w:rPr>
          <w:rFonts w:hint="eastAsia" w:ascii="Times New Roman" w:hAnsi="Times New Roman"/>
          <w:color w:val="000000"/>
          <w:szCs w:val="21"/>
          <w:shd w:val="clear" w:color="auto" w:fill="FFFFFF"/>
        </w:rPr>
        <w:t>=1.42 g/mL）</w:t>
      </w:r>
    </w:p>
    <w:p w14:paraId="18E346EE">
      <w:pPr>
        <w:pStyle w:val="8"/>
        <w:tabs>
          <w:tab w:val="center" w:pos="4201"/>
          <w:tab w:val="right" w:leader="dot" w:pos="9298"/>
        </w:tabs>
        <w:ind w:firstLine="0" w:firstLineChars="0"/>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4.3 盐酸（</w:t>
      </w:r>
      <w:r>
        <w:rPr>
          <w:rFonts w:ascii="Times New Roman" w:hAnsi="Times New Roman"/>
          <w:color w:val="000000"/>
          <w:szCs w:val="21"/>
          <w:shd w:val="clear" w:color="auto" w:fill="FFFFFF"/>
        </w:rPr>
        <w:t>ρ</w:t>
      </w:r>
      <w:r>
        <w:rPr>
          <w:rFonts w:hint="eastAsia" w:ascii="Times New Roman" w:hAnsi="Times New Roman"/>
          <w:color w:val="000000"/>
          <w:szCs w:val="21"/>
          <w:shd w:val="clear" w:color="auto" w:fill="FFFFFF"/>
        </w:rPr>
        <w:t>=1.19 g/mL）</w:t>
      </w:r>
    </w:p>
    <w:p w14:paraId="6224E988">
      <w:pPr>
        <w:pStyle w:val="8"/>
        <w:tabs>
          <w:tab w:val="center" w:pos="4201"/>
          <w:tab w:val="right" w:leader="dot" w:pos="9298"/>
        </w:tabs>
        <w:ind w:firstLine="0" w:firstLineChars="0"/>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4.4 盐酸（1+1）</w:t>
      </w:r>
    </w:p>
    <w:p w14:paraId="3D1FF4C7">
      <w:pPr>
        <w:pStyle w:val="8"/>
        <w:tabs>
          <w:tab w:val="center" w:pos="4201"/>
          <w:tab w:val="right" w:leader="dot" w:pos="9298"/>
        </w:tabs>
        <w:ind w:firstLine="0" w:firstLineChars="0"/>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4.5 硫酸（1+1）</w:t>
      </w:r>
    </w:p>
    <w:p w14:paraId="0DFE3F20">
      <w:pPr>
        <w:pStyle w:val="8"/>
        <w:tabs>
          <w:tab w:val="center" w:pos="4201"/>
          <w:tab w:val="right" w:leader="dot" w:pos="9298"/>
        </w:tabs>
        <w:ind w:firstLine="0" w:firstLineChars="0"/>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4.6 氧化锂标准贮存溶液：称取2.4729g预先在105℃～110℃烘2h并置于干燥器中冷至室温的碳酸锂（99.9%以上），置于250 mL烧杯中，加入80mL水，盖上表面皿，从杯嘴慢慢滴加40mL盐酸（4.4），加热至碳酸锂全部溶解，煮沸去除二氧化碳，冷却至室温，用水吹洗表面皿，将溶液移入1000mL容量瓶中，用水稀释至刻度，混匀，移入干塑料瓶中保存，此溶液中1mL含有1.0mg的氧化锂。</w:t>
      </w:r>
    </w:p>
    <w:p w14:paraId="6DC87761">
      <w:pPr>
        <w:pStyle w:val="8"/>
        <w:tabs>
          <w:tab w:val="center" w:pos="4201"/>
          <w:tab w:val="right" w:leader="dot" w:pos="9298"/>
        </w:tabs>
        <w:ind w:firstLine="0" w:firstLineChars="0"/>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4.7 三氧化二铁标准贮存溶液：称取0.2000g预先在105℃～110℃烘2h并置于干燥器中冷至室温的三氧化二铁（99.9%以上），置于250mL烧杯中，加入40mL盐酸（4.4），加热至三氧化二铁全部溶解，冷却至室温，将溶液移入1000mL容量瓶中，用水稀释至刻度，混匀，移入干塑料瓶中保存，此溶液中1mL含有0.2mg的三氧化二铁。</w:t>
      </w:r>
    </w:p>
    <w:p w14:paraId="3E98AC64">
      <w:pPr>
        <w:pStyle w:val="8"/>
        <w:tabs>
          <w:tab w:val="center" w:pos="4201"/>
          <w:tab w:val="right" w:leader="dot" w:pos="9298"/>
        </w:tabs>
        <w:ind w:firstLine="0" w:firstLineChars="0"/>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4.8 氧化锂和三氧化二铁标准混合溶液，移取氧化锂标准贮存溶液（4.6）100mL，三氧化二铁标准贮存溶液（4.7）200mL，置于1000mL容量瓶中，用水稀释至刻度，混匀，移入干塑料瓶中保存，此溶液1mL中含有100</w:t>
      </w:r>
      <w:r>
        <w:rPr>
          <w:rFonts w:ascii="Times New Roman" w:hAnsi="Times New Roman"/>
          <w:color w:val="000000"/>
          <w:szCs w:val="21"/>
          <w:shd w:val="clear" w:color="auto" w:fill="FFFFFF"/>
        </w:rPr>
        <w:t>μ</w:t>
      </w:r>
      <w:r>
        <w:rPr>
          <w:rFonts w:hint="eastAsia" w:ascii="Times New Roman" w:hAnsi="Times New Roman"/>
          <w:color w:val="000000"/>
          <w:szCs w:val="21"/>
          <w:shd w:val="clear" w:color="auto" w:fill="FFFFFF"/>
        </w:rPr>
        <w:t>g氧化锂和40</w:t>
      </w:r>
      <w:r>
        <w:rPr>
          <w:rFonts w:ascii="Times New Roman" w:hAnsi="Times New Roman"/>
          <w:color w:val="000000"/>
          <w:szCs w:val="21"/>
          <w:shd w:val="clear" w:color="auto" w:fill="FFFFFF"/>
        </w:rPr>
        <w:t>μ</w:t>
      </w:r>
      <w:r>
        <w:rPr>
          <w:rFonts w:hint="eastAsia" w:ascii="Times New Roman" w:hAnsi="Times New Roman"/>
          <w:color w:val="000000"/>
          <w:szCs w:val="21"/>
          <w:shd w:val="clear" w:color="auto" w:fill="FFFFFF"/>
        </w:rPr>
        <w:t>g的三氧化二铁。</w:t>
      </w:r>
    </w:p>
    <w:p w14:paraId="4BDB0F64">
      <w:pPr>
        <w:pStyle w:val="8"/>
        <w:tabs>
          <w:tab w:val="center" w:pos="4201"/>
          <w:tab w:val="right" w:leader="dot" w:pos="9298"/>
        </w:tabs>
        <w:ind w:firstLine="0" w:firstLineChars="0"/>
        <w:rPr>
          <w:rFonts w:hint="eastAsia" w:ascii="Times New Roman" w:hAnsi="Times New Roman"/>
          <w:color w:val="000000"/>
          <w:szCs w:val="21"/>
          <w:shd w:val="clear" w:color="auto" w:fill="FFFFFF"/>
        </w:rPr>
      </w:pPr>
      <w:r>
        <w:rPr>
          <w:rFonts w:hint="eastAsia" w:ascii="Times New Roman" w:hAnsi="Times New Roman"/>
          <w:color w:val="000000"/>
          <w:szCs w:val="21"/>
          <w:shd w:val="clear" w:color="auto" w:fill="FFFFFF"/>
        </w:rPr>
        <w:t>注：注：标准贮存溶液也可采用市售有证标准溶液。</w:t>
      </w:r>
    </w:p>
    <w:p w14:paraId="021A3E64">
      <w:pPr>
        <w:pStyle w:val="9"/>
        <w:spacing w:before="312" w:beforeLines="100" w:after="312" w:afterLines="100"/>
        <w:rPr>
          <w:rFonts w:ascii="Times New Roman" w:hAnsi="Times New Roman"/>
          <w:sz w:val="24"/>
          <w:szCs w:val="24"/>
        </w:rPr>
      </w:pPr>
      <w:r>
        <w:rPr>
          <w:rFonts w:hint="eastAsia" w:ascii="Times New Roman" w:hAnsi="Times New Roman"/>
          <w:sz w:val="24"/>
          <w:szCs w:val="24"/>
        </w:rPr>
        <w:t>仪器设备</w:t>
      </w:r>
    </w:p>
    <w:p w14:paraId="43D82F6F">
      <w:pPr>
        <w:pStyle w:val="8"/>
        <w:tabs>
          <w:tab w:val="center" w:pos="4201"/>
          <w:tab w:val="right" w:leader="dot" w:pos="9298"/>
        </w:tabs>
        <w:ind w:firstLine="0" w:firstLineChars="0"/>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5.1 电感耦合等离子体原子发射光谱仪：仪器工作条件参见附录A</w:t>
      </w:r>
    </w:p>
    <w:p w14:paraId="57A09C80">
      <w:pPr>
        <w:pStyle w:val="8"/>
        <w:tabs>
          <w:tab w:val="center" w:pos="4201"/>
          <w:tab w:val="right" w:leader="dot" w:pos="9298"/>
        </w:tabs>
        <w:ind w:firstLine="0" w:firstLineChars="0"/>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5.2 电子天平：感量0.1mg。</w:t>
      </w:r>
    </w:p>
    <w:p w14:paraId="47A0CFEA">
      <w:pPr>
        <w:pStyle w:val="9"/>
        <w:spacing w:before="312" w:beforeLines="100" w:after="312" w:afterLines="100"/>
        <w:rPr>
          <w:rFonts w:ascii="Times New Roman" w:hAnsi="Times New Roman"/>
          <w:sz w:val="24"/>
          <w:szCs w:val="24"/>
        </w:rPr>
      </w:pPr>
      <w:r>
        <w:rPr>
          <w:rFonts w:hint="eastAsia" w:ascii="Times New Roman" w:hAnsi="Times New Roman"/>
          <w:sz w:val="24"/>
          <w:szCs w:val="24"/>
        </w:rPr>
        <w:t>试样</w:t>
      </w:r>
    </w:p>
    <w:p w14:paraId="7F550FAF">
      <w:pPr>
        <w:pStyle w:val="8"/>
        <w:tabs>
          <w:tab w:val="center" w:pos="4201"/>
          <w:tab w:val="right" w:leader="dot" w:pos="9298"/>
        </w:tabs>
        <w:ind w:firstLine="0" w:firstLineChars="0"/>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6.1 锂辉石应通过筛孔为0.074mm的筛网。</w:t>
      </w:r>
    </w:p>
    <w:p w14:paraId="7D4797F1">
      <w:pPr>
        <w:pStyle w:val="8"/>
        <w:tabs>
          <w:tab w:val="center" w:pos="4201"/>
          <w:tab w:val="right" w:leader="dot" w:pos="9298"/>
        </w:tabs>
        <w:ind w:firstLine="0" w:firstLineChars="0"/>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6.2 试样预先在105</w:t>
      </w:r>
      <w:r>
        <w:rPr>
          <w:rFonts w:ascii="Times New Roman" w:hAnsi="Times New Roman"/>
          <w:color w:val="000000"/>
          <w:szCs w:val="21"/>
          <w:shd w:val="clear" w:color="auto" w:fill="FFFFFF"/>
        </w:rPr>
        <w:t>℃</w:t>
      </w:r>
      <w:r>
        <w:rPr>
          <w:rFonts w:hint="eastAsia" w:ascii="Times New Roman" w:hAnsi="Times New Roman"/>
          <w:color w:val="000000"/>
          <w:szCs w:val="21"/>
          <w:shd w:val="clear" w:color="auto" w:fill="FFFFFF"/>
        </w:rPr>
        <w:t>～110</w:t>
      </w:r>
      <w:r>
        <w:rPr>
          <w:rFonts w:ascii="Times New Roman" w:hAnsi="Times New Roman"/>
          <w:color w:val="000000"/>
          <w:szCs w:val="21"/>
          <w:shd w:val="clear" w:color="auto" w:fill="FFFFFF"/>
        </w:rPr>
        <w:t>℃</w:t>
      </w:r>
      <w:r>
        <w:rPr>
          <w:rFonts w:hint="eastAsia" w:ascii="Times New Roman" w:hAnsi="Times New Roman"/>
          <w:color w:val="000000"/>
          <w:szCs w:val="21"/>
          <w:shd w:val="clear" w:color="auto" w:fill="FFFFFF"/>
        </w:rPr>
        <w:t>烘2h，置于干燥器中冷却至室温。</w:t>
      </w:r>
    </w:p>
    <w:p w14:paraId="3E9D03FE">
      <w:pPr>
        <w:pStyle w:val="9"/>
        <w:spacing w:before="312" w:beforeLines="100" w:after="312" w:afterLines="100"/>
        <w:rPr>
          <w:rFonts w:ascii="Times New Roman" w:hAnsi="Times New Roman"/>
          <w:sz w:val="24"/>
          <w:szCs w:val="24"/>
        </w:rPr>
      </w:pPr>
      <w:r>
        <w:rPr>
          <w:rFonts w:hint="eastAsia" w:ascii="Times New Roman" w:hAnsi="Times New Roman"/>
          <w:sz w:val="24"/>
          <w:szCs w:val="24"/>
        </w:rPr>
        <w:t>分析步骤</w:t>
      </w:r>
    </w:p>
    <w:p w14:paraId="28AF0277">
      <w:pPr>
        <w:pStyle w:val="8"/>
        <w:tabs>
          <w:tab w:val="center" w:pos="4201"/>
          <w:tab w:val="right" w:leader="dot" w:pos="9298"/>
        </w:tabs>
        <w:ind w:firstLine="0" w:firstLineChars="0"/>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7.1 试料</w:t>
      </w:r>
    </w:p>
    <w:p w14:paraId="5CFE44E1">
      <w:pPr>
        <w:pStyle w:val="8"/>
        <w:tabs>
          <w:tab w:val="center" w:pos="4201"/>
          <w:tab w:val="right" w:leader="dot" w:pos="9298"/>
        </w:tabs>
        <w:ind w:firstLine="420"/>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称取0.10g试样，精确到0.0001g。</w:t>
      </w:r>
    </w:p>
    <w:p w14:paraId="21A547AD">
      <w:pPr>
        <w:pStyle w:val="8"/>
        <w:tabs>
          <w:tab w:val="center" w:pos="4201"/>
          <w:tab w:val="right" w:leader="dot" w:pos="9298"/>
        </w:tabs>
        <w:ind w:firstLine="0" w:firstLineChars="0"/>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7.2 测定数量</w:t>
      </w:r>
    </w:p>
    <w:p w14:paraId="5CBB8CD1">
      <w:pPr>
        <w:pStyle w:val="8"/>
        <w:tabs>
          <w:tab w:val="center" w:pos="4201"/>
          <w:tab w:val="right" w:leader="dot" w:pos="9298"/>
        </w:tabs>
        <w:ind w:firstLine="420"/>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做两份试料的平行测定，取其平均值。</w:t>
      </w:r>
    </w:p>
    <w:p w14:paraId="22160705">
      <w:pPr>
        <w:pStyle w:val="8"/>
        <w:tabs>
          <w:tab w:val="center" w:pos="4201"/>
          <w:tab w:val="right" w:leader="dot" w:pos="9298"/>
        </w:tabs>
        <w:ind w:firstLine="0" w:firstLineChars="0"/>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7.3 空白试验</w:t>
      </w:r>
    </w:p>
    <w:p w14:paraId="4217FD2B">
      <w:pPr>
        <w:pStyle w:val="8"/>
        <w:tabs>
          <w:tab w:val="center" w:pos="4201"/>
          <w:tab w:val="right" w:leader="dot" w:pos="9298"/>
        </w:tabs>
        <w:ind w:firstLine="420" w:firstLineChars="0"/>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随同试料做空白试验。</w:t>
      </w:r>
    </w:p>
    <w:p w14:paraId="2D5836DC">
      <w:pPr>
        <w:pStyle w:val="8"/>
        <w:tabs>
          <w:tab w:val="center" w:pos="4201"/>
          <w:tab w:val="right" w:leader="dot" w:pos="9298"/>
        </w:tabs>
        <w:ind w:firstLine="0" w:firstLineChars="0"/>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7.4 试样溶液的制备</w:t>
      </w:r>
    </w:p>
    <w:p w14:paraId="2C3D6067">
      <w:pPr>
        <w:pStyle w:val="8"/>
        <w:tabs>
          <w:tab w:val="center" w:pos="4201"/>
          <w:tab w:val="right" w:leader="dot" w:pos="9298"/>
        </w:tabs>
        <w:ind w:firstLine="0" w:firstLineChars="0"/>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7.4.1 将试料（7.1）置于50mL铂皿中，用水润湿，加入2mL硫酸（4.5），15mL氢氟酸（4.1）,5mL硝酸（4.2）。置于砂浴上加热分解，蒸至冒浓的三氧化硫白烟，取下，冷却。</w:t>
      </w:r>
    </w:p>
    <w:p w14:paraId="49A81806">
      <w:pPr>
        <w:pStyle w:val="8"/>
        <w:tabs>
          <w:tab w:val="center" w:pos="4201"/>
          <w:tab w:val="right" w:leader="dot" w:pos="9298"/>
        </w:tabs>
        <w:ind w:firstLine="0" w:firstLineChars="0"/>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7.4.2 加入25mL水和3mL盐酸（4.3），置于砂浴上加热使盐类完全溶解，取下，冷却至室温。</w:t>
      </w:r>
    </w:p>
    <w:p w14:paraId="50AE7865">
      <w:pPr>
        <w:pStyle w:val="8"/>
        <w:tabs>
          <w:tab w:val="center" w:pos="4201"/>
          <w:tab w:val="right" w:leader="dot" w:pos="9298"/>
        </w:tabs>
        <w:ind w:firstLine="0" w:firstLineChars="0"/>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7.4.3 将溶液移入100mL容量瓶中，用水稀释至刻度，混匀。</w:t>
      </w:r>
    </w:p>
    <w:p w14:paraId="504D88D7">
      <w:pPr>
        <w:pStyle w:val="8"/>
        <w:tabs>
          <w:tab w:val="center" w:pos="4201"/>
          <w:tab w:val="right" w:leader="dot" w:pos="9298"/>
        </w:tabs>
        <w:ind w:firstLine="0" w:firstLineChars="0"/>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7.5 工作曲线的绘制</w:t>
      </w:r>
    </w:p>
    <w:p w14:paraId="49878B41">
      <w:pPr>
        <w:pStyle w:val="8"/>
        <w:tabs>
          <w:tab w:val="center" w:pos="4201"/>
          <w:tab w:val="right" w:leader="dot" w:pos="9298"/>
        </w:tabs>
        <w:ind w:firstLine="420"/>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移取0.00mL、5.00mL、10.00mL、15.00mL、20.00mL、25.00mL、30.00mL的氧化锂和三氧化二铁标准混合溶液（4.8）分别置于一组100mL容量瓶中，加入3mL盐酸（4.3）用水稀释至刻度，混匀。此标准系列溶液中氧化锂质量浓度为0.00</w:t>
      </w:r>
      <w:r>
        <w:rPr>
          <w:rFonts w:ascii="Times New Roman" w:hAnsi="Times New Roman"/>
          <w:color w:val="000000"/>
          <w:szCs w:val="21"/>
          <w:shd w:val="clear" w:color="auto" w:fill="FFFFFF"/>
        </w:rPr>
        <w:t>μ</w:t>
      </w:r>
      <w:r>
        <w:rPr>
          <w:rFonts w:hint="eastAsia" w:ascii="Times New Roman" w:hAnsi="Times New Roman"/>
          <w:color w:val="000000"/>
          <w:szCs w:val="21"/>
          <w:shd w:val="clear" w:color="auto" w:fill="FFFFFF"/>
        </w:rPr>
        <w:t>g/mL、5.00</w:t>
      </w:r>
      <w:r>
        <w:rPr>
          <w:rFonts w:ascii="Times New Roman" w:hAnsi="Times New Roman"/>
          <w:color w:val="000000"/>
          <w:szCs w:val="21"/>
          <w:shd w:val="clear" w:color="auto" w:fill="FFFFFF"/>
        </w:rPr>
        <w:t>μ</w:t>
      </w:r>
      <w:r>
        <w:rPr>
          <w:rFonts w:hint="eastAsia" w:ascii="Times New Roman" w:hAnsi="Times New Roman"/>
          <w:color w:val="000000"/>
          <w:szCs w:val="21"/>
          <w:shd w:val="clear" w:color="auto" w:fill="FFFFFF"/>
        </w:rPr>
        <w:t>g/mL、10.00</w:t>
      </w:r>
      <w:r>
        <w:rPr>
          <w:rFonts w:ascii="Times New Roman" w:hAnsi="Times New Roman"/>
          <w:color w:val="000000"/>
          <w:szCs w:val="21"/>
          <w:shd w:val="clear" w:color="auto" w:fill="FFFFFF"/>
        </w:rPr>
        <w:t>μ</w:t>
      </w:r>
      <w:r>
        <w:rPr>
          <w:rFonts w:hint="eastAsia" w:ascii="Times New Roman" w:hAnsi="Times New Roman"/>
          <w:color w:val="000000"/>
          <w:szCs w:val="21"/>
          <w:shd w:val="clear" w:color="auto" w:fill="FFFFFF"/>
        </w:rPr>
        <w:t>g/mL、15.00</w:t>
      </w:r>
      <w:r>
        <w:rPr>
          <w:rFonts w:ascii="Times New Roman" w:hAnsi="Times New Roman"/>
          <w:color w:val="000000"/>
          <w:szCs w:val="21"/>
          <w:shd w:val="clear" w:color="auto" w:fill="FFFFFF"/>
        </w:rPr>
        <w:t>μ</w:t>
      </w:r>
      <w:r>
        <w:rPr>
          <w:rFonts w:hint="eastAsia" w:ascii="Times New Roman" w:hAnsi="Times New Roman"/>
          <w:color w:val="000000"/>
          <w:szCs w:val="21"/>
          <w:shd w:val="clear" w:color="auto" w:fill="FFFFFF"/>
        </w:rPr>
        <w:t>g/mL、20.00</w:t>
      </w:r>
      <w:r>
        <w:rPr>
          <w:rFonts w:ascii="Times New Roman" w:hAnsi="Times New Roman"/>
          <w:color w:val="000000"/>
          <w:szCs w:val="21"/>
          <w:shd w:val="clear" w:color="auto" w:fill="FFFFFF"/>
        </w:rPr>
        <w:t>μ</w:t>
      </w:r>
      <w:r>
        <w:rPr>
          <w:rFonts w:hint="eastAsia" w:ascii="Times New Roman" w:hAnsi="Times New Roman"/>
          <w:color w:val="000000"/>
          <w:szCs w:val="21"/>
          <w:shd w:val="clear" w:color="auto" w:fill="FFFFFF"/>
        </w:rPr>
        <w:t>g/mL、25.00</w:t>
      </w:r>
      <w:r>
        <w:rPr>
          <w:rFonts w:ascii="Times New Roman" w:hAnsi="Times New Roman"/>
          <w:color w:val="000000"/>
          <w:szCs w:val="21"/>
          <w:shd w:val="clear" w:color="auto" w:fill="FFFFFF"/>
        </w:rPr>
        <w:t>μ</w:t>
      </w:r>
      <w:r>
        <w:rPr>
          <w:rFonts w:hint="eastAsia" w:ascii="Times New Roman" w:hAnsi="Times New Roman"/>
          <w:color w:val="000000"/>
          <w:szCs w:val="21"/>
          <w:shd w:val="clear" w:color="auto" w:fill="FFFFFF"/>
        </w:rPr>
        <w:t>g/mL、30.00</w:t>
      </w:r>
      <w:r>
        <w:rPr>
          <w:rFonts w:ascii="Times New Roman" w:hAnsi="Times New Roman"/>
          <w:color w:val="000000"/>
          <w:szCs w:val="21"/>
          <w:shd w:val="clear" w:color="auto" w:fill="FFFFFF"/>
        </w:rPr>
        <w:t>μ</w:t>
      </w:r>
      <w:r>
        <w:rPr>
          <w:rFonts w:hint="eastAsia" w:ascii="Times New Roman" w:hAnsi="Times New Roman"/>
          <w:color w:val="000000"/>
          <w:szCs w:val="21"/>
          <w:shd w:val="clear" w:color="auto" w:fill="FFFFFF"/>
        </w:rPr>
        <w:t>g/mL；三氧化二铁质量浓度为0.00</w:t>
      </w:r>
      <w:r>
        <w:rPr>
          <w:rFonts w:ascii="Times New Roman" w:hAnsi="Times New Roman"/>
          <w:color w:val="000000"/>
          <w:szCs w:val="21"/>
          <w:shd w:val="clear" w:color="auto" w:fill="FFFFFF"/>
        </w:rPr>
        <w:t>μ</w:t>
      </w:r>
      <w:r>
        <w:rPr>
          <w:rFonts w:hint="eastAsia" w:ascii="Times New Roman" w:hAnsi="Times New Roman"/>
          <w:color w:val="000000"/>
          <w:szCs w:val="21"/>
          <w:shd w:val="clear" w:color="auto" w:fill="FFFFFF"/>
        </w:rPr>
        <w:t>g/mL、2.00</w:t>
      </w:r>
      <w:r>
        <w:rPr>
          <w:rFonts w:ascii="Times New Roman" w:hAnsi="Times New Roman"/>
          <w:color w:val="000000"/>
          <w:szCs w:val="21"/>
          <w:shd w:val="clear" w:color="auto" w:fill="FFFFFF"/>
        </w:rPr>
        <w:t>μ</w:t>
      </w:r>
      <w:r>
        <w:rPr>
          <w:rFonts w:hint="eastAsia" w:ascii="Times New Roman" w:hAnsi="Times New Roman"/>
          <w:color w:val="000000"/>
          <w:szCs w:val="21"/>
          <w:shd w:val="clear" w:color="auto" w:fill="FFFFFF"/>
        </w:rPr>
        <w:t>g/mL、4.00</w:t>
      </w:r>
      <w:r>
        <w:rPr>
          <w:rFonts w:ascii="Times New Roman" w:hAnsi="Times New Roman"/>
          <w:color w:val="000000"/>
          <w:szCs w:val="21"/>
          <w:shd w:val="clear" w:color="auto" w:fill="FFFFFF"/>
        </w:rPr>
        <w:t>μ</w:t>
      </w:r>
      <w:r>
        <w:rPr>
          <w:rFonts w:hint="eastAsia" w:ascii="Times New Roman" w:hAnsi="Times New Roman"/>
          <w:color w:val="000000"/>
          <w:szCs w:val="21"/>
          <w:shd w:val="clear" w:color="auto" w:fill="FFFFFF"/>
        </w:rPr>
        <w:t>g/mL、6.00</w:t>
      </w:r>
      <w:r>
        <w:rPr>
          <w:rFonts w:ascii="Times New Roman" w:hAnsi="Times New Roman"/>
          <w:color w:val="000000"/>
          <w:szCs w:val="21"/>
          <w:shd w:val="clear" w:color="auto" w:fill="FFFFFF"/>
        </w:rPr>
        <w:t>μ</w:t>
      </w:r>
      <w:r>
        <w:rPr>
          <w:rFonts w:hint="eastAsia" w:ascii="Times New Roman" w:hAnsi="Times New Roman"/>
          <w:color w:val="000000"/>
          <w:szCs w:val="21"/>
          <w:shd w:val="clear" w:color="auto" w:fill="FFFFFF"/>
        </w:rPr>
        <w:t>g/mL、8.00</w:t>
      </w:r>
      <w:r>
        <w:rPr>
          <w:rFonts w:ascii="Times New Roman" w:hAnsi="Times New Roman"/>
          <w:color w:val="000000"/>
          <w:szCs w:val="21"/>
          <w:shd w:val="clear" w:color="auto" w:fill="FFFFFF"/>
        </w:rPr>
        <w:t>μ</w:t>
      </w:r>
      <w:r>
        <w:rPr>
          <w:rFonts w:hint="eastAsia" w:ascii="Times New Roman" w:hAnsi="Times New Roman"/>
          <w:color w:val="000000"/>
          <w:szCs w:val="21"/>
          <w:shd w:val="clear" w:color="auto" w:fill="FFFFFF"/>
        </w:rPr>
        <w:t>g/mL、10.00</w:t>
      </w:r>
      <w:r>
        <w:rPr>
          <w:rFonts w:ascii="Times New Roman" w:hAnsi="Times New Roman"/>
          <w:color w:val="000000"/>
          <w:szCs w:val="21"/>
          <w:shd w:val="clear" w:color="auto" w:fill="FFFFFF"/>
        </w:rPr>
        <w:t>μ</w:t>
      </w:r>
      <w:r>
        <w:rPr>
          <w:rFonts w:hint="eastAsia" w:ascii="Times New Roman" w:hAnsi="Times New Roman"/>
          <w:color w:val="000000"/>
          <w:szCs w:val="21"/>
          <w:shd w:val="clear" w:color="auto" w:fill="FFFFFF"/>
        </w:rPr>
        <w:t>g/mL、12.00</w:t>
      </w:r>
      <w:r>
        <w:rPr>
          <w:rFonts w:ascii="Times New Roman" w:hAnsi="Times New Roman"/>
          <w:color w:val="000000"/>
          <w:szCs w:val="21"/>
          <w:shd w:val="clear" w:color="auto" w:fill="FFFFFF"/>
        </w:rPr>
        <w:t>μ</w:t>
      </w:r>
      <w:r>
        <w:rPr>
          <w:rFonts w:hint="eastAsia" w:ascii="Times New Roman" w:hAnsi="Times New Roman"/>
          <w:color w:val="000000"/>
          <w:szCs w:val="21"/>
          <w:shd w:val="clear" w:color="auto" w:fill="FFFFFF"/>
        </w:rPr>
        <w:t>g/mL。</w:t>
      </w:r>
    </w:p>
    <w:p w14:paraId="6FF60CB6">
      <w:pPr>
        <w:pStyle w:val="8"/>
        <w:tabs>
          <w:tab w:val="center" w:pos="4201"/>
          <w:tab w:val="right" w:leader="dot" w:pos="9298"/>
        </w:tabs>
        <w:ind w:firstLine="420"/>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测定前，根据待测元素的性质和仪器的性能，进行载气流量、辅助气流量、射频发生器功率等测量条件优化，然后，用电感耦合等离子发射光谱仪在各元素的特征波长处（参考波长：锂：670.784nm；铁：259.940nm）测定各标准溶液的谱线强度，以各元素标准溶液的质量浓度（</w:t>
      </w:r>
      <w:r>
        <w:rPr>
          <w:rFonts w:ascii="Times New Roman" w:hAnsi="Times New Roman"/>
          <w:color w:val="000000"/>
          <w:szCs w:val="21"/>
          <w:shd w:val="clear" w:color="auto" w:fill="FFFFFF"/>
        </w:rPr>
        <w:t>μ</w:t>
      </w:r>
      <w:r>
        <w:rPr>
          <w:rFonts w:hint="eastAsia" w:ascii="Times New Roman" w:hAnsi="Times New Roman"/>
          <w:color w:val="000000"/>
          <w:szCs w:val="21"/>
          <w:shd w:val="clear" w:color="auto" w:fill="FFFFFF"/>
        </w:rPr>
        <w:t>g/mL）为横坐标，相应的谱线强度为纵坐标，绘制工作曲线。</w:t>
      </w:r>
    </w:p>
    <w:p w14:paraId="4D5282A0">
      <w:pPr>
        <w:pStyle w:val="8"/>
        <w:tabs>
          <w:tab w:val="center" w:pos="4201"/>
          <w:tab w:val="right" w:leader="dot" w:pos="9298"/>
        </w:tabs>
        <w:ind w:firstLine="360"/>
        <w:rPr>
          <w:rFonts w:ascii="Times New Roman" w:hAnsi="Times New Roman"/>
          <w:color w:val="000000"/>
          <w:szCs w:val="21"/>
          <w:shd w:val="clear" w:color="auto" w:fill="FFFFFF"/>
        </w:rPr>
      </w:pPr>
      <w:r>
        <w:rPr>
          <w:rFonts w:hint="eastAsia" w:ascii="Times New Roman" w:hAnsi="Times New Roman"/>
          <w:color w:val="000000"/>
          <w:sz w:val="18"/>
          <w:szCs w:val="18"/>
          <w:shd w:val="clear" w:color="auto" w:fill="FFFFFF"/>
        </w:rPr>
        <w:t>注：可根据不同的仪器灵敏度、待测元素的含量调整标准曲线的质量浓度。</w:t>
      </w:r>
    </w:p>
    <w:p w14:paraId="716A0C2A">
      <w:pPr>
        <w:pStyle w:val="8"/>
        <w:tabs>
          <w:tab w:val="center" w:pos="4201"/>
          <w:tab w:val="right" w:leader="dot" w:pos="9298"/>
        </w:tabs>
        <w:ind w:firstLine="0" w:firstLineChars="0"/>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7.6 测定</w:t>
      </w:r>
    </w:p>
    <w:p w14:paraId="0C619182">
      <w:pPr>
        <w:pStyle w:val="8"/>
        <w:tabs>
          <w:tab w:val="center" w:pos="4201"/>
          <w:tab w:val="right" w:leader="dot" w:pos="9298"/>
        </w:tabs>
        <w:ind w:firstLine="420"/>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试样溶液直接（或适当稀释后）在与测定标准系列溶液相同的条件下，测定待测元素的谱线强度、在工作曲线中查出相应的质量浓度（</w:t>
      </w:r>
      <w:r>
        <w:rPr>
          <w:rFonts w:ascii="Times New Roman" w:hAnsi="Times New Roman"/>
          <w:color w:val="000000"/>
          <w:szCs w:val="21"/>
          <w:shd w:val="clear" w:color="auto" w:fill="FFFFFF"/>
        </w:rPr>
        <w:t>μ</w:t>
      </w:r>
      <w:r>
        <w:rPr>
          <w:rFonts w:hint="eastAsia" w:ascii="Times New Roman" w:hAnsi="Times New Roman"/>
          <w:color w:val="000000"/>
          <w:szCs w:val="21"/>
          <w:shd w:val="clear" w:color="auto" w:fill="FFFFFF"/>
        </w:rPr>
        <w:t>g/mL）。</w:t>
      </w:r>
    </w:p>
    <w:p w14:paraId="1617F196">
      <w:pPr>
        <w:pStyle w:val="9"/>
        <w:spacing w:before="312" w:beforeLines="100" w:after="312" w:afterLines="100"/>
        <w:rPr>
          <w:rFonts w:ascii="Times New Roman" w:hAnsi="Times New Roman"/>
          <w:sz w:val="24"/>
          <w:szCs w:val="24"/>
        </w:rPr>
      </w:pPr>
      <w:r>
        <w:rPr>
          <w:rFonts w:hint="eastAsia" w:ascii="Times New Roman" w:hAnsi="Times New Roman"/>
          <w:sz w:val="24"/>
          <w:szCs w:val="24"/>
        </w:rPr>
        <w:t>分析结果的计算</w:t>
      </w:r>
    </w:p>
    <w:p w14:paraId="2F9BB44D">
      <w:pPr>
        <w:pStyle w:val="8"/>
        <w:tabs>
          <w:tab w:val="center" w:pos="4201"/>
          <w:tab w:val="right" w:leader="dot" w:pos="9298"/>
        </w:tabs>
        <w:ind w:firstLine="420"/>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氧化锂和三氧化二铁的质量分数</w:t>
      </w:r>
      <w:r>
        <w:rPr>
          <w:rFonts w:ascii="Times New Roman" w:hAnsi="Times New Roman"/>
          <w:i/>
          <w:iCs/>
          <w:color w:val="000000"/>
          <w:szCs w:val="21"/>
          <w:shd w:val="clear" w:color="auto" w:fill="FFFFFF"/>
        </w:rPr>
        <w:t>ω</w:t>
      </w:r>
      <w:r>
        <w:rPr>
          <w:rFonts w:hint="eastAsia" w:ascii="Times New Roman" w:hAnsi="Times New Roman"/>
          <w:color w:val="000000"/>
          <w:szCs w:val="21"/>
          <w:shd w:val="clear" w:color="auto" w:fill="FFFFFF"/>
        </w:rPr>
        <w:t>，数值以%表示，按下式计算</w:t>
      </w:r>
    </w:p>
    <w:p w14:paraId="0360B948">
      <w:pPr>
        <w:pStyle w:val="8"/>
        <w:tabs>
          <w:tab w:val="center" w:pos="4201"/>
          <w:tab w:val="right" w:leader="dot" w:pos="9298"/>
        </w:tabs>
        <w:ind w:firstLine="420"/>
        <w:jc w:val="center"/>
        <w:rPr>
          <w:rFonts w:ascii="Times New Roman" w:hAnsi="Times New Roman"/>
          <w:color w:val="000000"/>
          <w:szCs w:val="21"/>
          <w:shd w:val="clear" w:color="auto" w:fill="FFFFFF"/>
        </w:rPr>
      </w:pPr>
      <w:r>
        <w:rPr>
          <w:rFonts w:ascii="Times New Roman" w:hAnsi="Times New Roman" w:eastAsiaTheme="minorEastAsia"/>
          <w:position w:val="-24"/>
        </w:rPr>
        <w:object>
          <v:shape id="_x0000_i1025" o:spt="75" type="#_x0000_t75" style="height:30.1pt;width:122.5pt;" o:ole="t" filled="f" o:preferrelative="t" stroked="f" coordsize="21600,21600">
            <v:path/>
            <v:fill on="f" focussize="0,0"/>
            <v:stroke on="f" joinstyle="miter"/>
            <v:imagedata r:id="rId7" o:title=""/>
            <o:lock v:ext="edit" aspectratio="t"/>
            <w10:wrap type="none"/>
            <w10:anchorlock/>
          </v:shape>
          <o:OLEObject Type="Embed" ProgID="Equation.3" ShapeID="_x0000_i1025" DrawAspect="Content" ObjectID="_1468075725" r:id="rId6">
            <o:LockedField>false</o:LockedField>
          </o:OLEObject>
        </w:object>
      </w:r>
    </w:p>
    <w:p w14:paraId="30B0A153">
      <w:pPr>
        <w:pStyle w:val="8"/>
        <w:tabs>
          <w:tab w:val="center" w:pos="4201"/>
          <w:tab w:val="right" w:leader="dot" w:pos="9298"/>
        </w:tabs>
        <w:ind w:firstLine="420"/>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式中：</w:t>
      </w:r>
    </w:p>
    <w:p w14:paraId="0329C067">
      <w:pPr>
        <w:pStyle w:val="8"/>
        <w:tabs>
          <w:tab w:val="center" w:pos="4201"/>
          <w:tab w:val="right" w:leader="dot" w:pos="9298"/>
        </w:tabs>
        <w:ind w:firstLine="420"/>
        <w:rPr>
          <w:rFonts w:ascii="Times New Roman" w:hAnsi="Times New Roman"/>
          <w:color w:val="000000"/>
          <w:szCs w:val="21"/>
          <w:shd w:val="clear" w:color="auto" w:fill="FFFFFF"/>
        </w:rPr>
      </w:pPr>
      <w:r>
        <w:rPr>
          <w:rFonts w:hint="eastAsia" w:ascii="Times New Roman" w:hAnsi="Times New Roman"/>
          <w:i/>
          <w:iCs/>
          <w:color w:val="000000"/>
          <w:szCs w:val="21"/>
          <w:shd w:val="clear" w:color="auto" w:fill="FFFFFF"/>
        </w:rPr>
        <w:t>C</w:t>
      </w:r>
      <w:r>
        <w:rPr>
          <w:rFonts w:hint="eastAsia" w:ascii="Times New Roman" w:hAnsi="Times New Roman"/>
          <w:i/>
          <w:iCs/>
          <w:color w:val="000000"/>
          <w:szCs w:val="21"/>
          <w:shd w:val="clear" w:color="auto" w:fill="FFFFFF"/>
          <w:vertAlign w:val="subscript"/>
        </w:rPr>
        <w:t>1</w:t>
      </w:r>
      <w:r>
        <w:rPr>
          <w:rFonts w:hint="eastAsia" w:ascii="Times New Roman" w:hAnsi="Times New Roman"/>
          <w:color w:val="000000"/>
          <w:szCs w:val="21"/>
          <w:shd w:val="clear" w:color="auto" w:fill="FFFFFF"/>
        </w:rPr>
        <w:t>———工作曲线上查的试料的氧化锂（三氧化二铁）浓度，单位为微克每毫升（</w:t>
      </w:r>
      <w:r>
        <w:rPr>
          <w:rFonts w:ascii="Times New Roman" w:hAnsi="Times New Roman"/>
          <w:color w:val="000000"/>
          <w:szCs w:val="21"/>
          <w:shd w:val="clear" w:color="auto" w:fill="FFFFFF"/>
        </w:rPr>
        <w:t>μ</w:t>
      </w:r>
      <w:r>
        <w:rPr>
          <w:rFonts w:hint="eastAsia" w:ascii="Times New Roman" w:hAnsi="Times New Roman"/>
          <w:color w:val="000000"/>
          <w:szCs w:val="21"/>
          <w:shd w:val="clear" w:color="auto" w:fill="FFFFFF"/>
        </w:rPr>
        <w:t>g/mL）；</w:t>
      </w:r>
    </w:p>
    <w:p w14:paraId="73C6DB53">
      <w:pPr>
        <w:pStyle w:val="8"/>
        <w:tabs>
          <w:tab w:val="center" w:pos="4201"/>
          <w:tab w:val="right" w:leader="dot" w:pos="9298"/>
        </w:tabs>
        <w:ind w:left="1260" w:leftChars="200" w:hanging="840" w:hangingChars="400"/>
        <w:rPr>
          <w:rFonts w:ascii="Times New Roman" w:hAnsi="Times New Roman"/>
          <w:color w:val="000000"/>
          <w:szCs w:val="21"/>
          <w:shd w:val="clear" w:color="auto" w:fill="FFFFFF"/>
        </w:rPr>
      </w:pPr>
      <w:r>
        <w:rPr>
          <w:rFonts w:hint="eastAsia" w:ascii="Times New Roman" w:hAnsi="Times New Roman"/>
          <w:i/>
          <w:iCs/>
          <w:color w:val="000000"/>
          <w:szCs w:val="21"/>
          <w:shd w:val="clear" w:color="auto" w:fill="FFFFFF"/>
        </w:rPr>
        <w:t>C</w:t>
      </w:r>
      <w:r>
        <w:rPr>
          <w:rFonts w:hint="eastAsia" w:ascii="Times New Roman" w:hAnsi="Times New Roman"/>
          <w:i/>
          <w:iCs/>
          <w:color w:val="000000"/>
          <w:szCs w:val="21"/>
          <w:shd w:val="clear" w:color="auto" w:fill="FFFFFF"/>
          <w:vertAlign w:val="subscript"/>
        </w:rPr>
        <w:t>0</w:t>
      </w:r>
      <w:r>
        <w:rPr>
          <w:rFonts w:hint="eastAsia" w:ascii="Times New Roman" w:hAnsi="Times New Roman"/>
          <w:color w:val="000000"/>
          <w:szCs w:val="21"/>
          <w:shd w:val="clear" w:color="auto" w:fill="FFFFFF"/>
        </w:rPr>
        <w:t>———工作曲线上查的随同试料空白溶液的氧化锂（三氧化二铁）浓度，单位为微克每毫升（</w:t>
      </w:r>
      <w:r>
        <w:rPr>
          <w:rFonts w:ascii="Times New Roman" w:hAnsi="Times New Roman"/>
          <w:color w:val="000000"/>
          <w:szCs w:val="21"/>
          <w:shd w:val="clear" w:color="auto" w:fill="FFFFFF"/>
        </w:rPr>
        <w:t>μ</w:t>
      </w:r>
      <w:r>
        <w:rPr>
          <w:rFonts w:hint="eastAsia" w:ascii="Times New Roman" w:hAnsi="Times New Roman"/>
          <w:color w:val="000000"/>
          <w:szCs w:val="21"/>
          <w:shd w:val="clear" w:color="auto" w:fill="FFFFFF"/>
        </w:rPr>
        <w:t>g/mL）；</w:t>
      </w:r>
    </w:p>
    <w:p w14:paraId="2ED8E9EE">
      <w:pPr>
        <w:pStyle w:val="8"/>
        <w:tabs>
          <w:tab w:val="center" w:pos="4201"/>
          <w:tab w:val="right" w:leader="dot" w:pos="9298"/>
        </w:tabs>
        <w:ind w:left="1260" w:leftChars="200" w:hanging="840" w:hangingChars="400"/>
        <w:rPr>
          <w:rFonts w:ascii="Times New Roman" w:hAnsi="Times New Roman"/>
          <w:color w:val="000000"/>
          <w:szCs w:val="21"/>
          <w:shd w:val="clear" w:color="auto" w:fill="FFFFFF"/>
        </w:rPr>
      </w:pPr>
      <w:r>
        <w:rPr>
          <w:rFonts w:hint="eastAsia" w:ascii="Times New Roman" w:hAnsi="Times New Roman"/>
          <w:i/>
          <w:iCs/>
          <w:color w:val="000000"/>
          <w:szCs w:val="21"/>
          <w:shd w:val="clear" w:color="auto" w:fill="FFFFFF"/>
        </w:rPr>
        <w:t>m</w:t>
      </w:r>
      <w:r>
        <w:rPr>
          <w:rFonts w:hint="eastAsia" w:ascii="Times New Roman" w:hAnsi="Times New Roman"/>
          <w:color w:val="000000"/>
          <w:szCs w:val="21"/>
          <w:shd w:val="clear" w:color="auto" w:fill="FFFFFF"/>
        </w:rPr>
        <w:t>———试料的质量，单位为克（g）；</w:t>
      </w:r>
    </w:p>
    <w:p w14:paraId="529313B8">
      <w:pPr>
        <w:pStyle w:val="8"/>
        <w:tabs>
          <w:tab w:val="center" w:pos="4201"/>
          <w:tab w:val="right" w:leader="dot" w:pos="9298"/>
        </w:tabs>
        <w:ind w:left="1260" w:leftChars="200" w:hanging="840" w:hangingChars="400"/>
        <w:rPr>
          <w:rFonts w:ascii="Times New Roman" w:hAnsi="Times New Roman"/>
          <w:color w:val="000000"/>
          <w:szCs w:val="21"/>
          <w:shd w:val="clear" w:color="auto" w:fill="FFFFFF"/>
        </w:rPr>
      </w:pPr>
      <w:r>
        <w:rPr>
          <w:rFonts w:hint="eastAsia" w:ascii="Times New Roman" w:hAnsi="Times New Roman"/>
          <w:i/>
          <w:iCs/>
          <w:color w:val="000000"/>
          <w:szCs w:val="21"/>
          <w:shd w:val="clear" w:color="auto" w:fill="FFFFFF"/>
        </w:rPr>
        <w:t>V</w:t>
      </w:r>
      <w:r>
        <w:rPr>
          <w:rFonts w:hint="eastAsia" w:ascii="Times New Roman" w:hAnsi="Times New Roman"/>
          <w:color w:val="000000"/>
          <w:szCs w:val="21"/>
          <w:shd w:val="clear" w:color="auto" w:fill="FFFFFF"/>
        </w:rPr>
        <w:t>———试料的定容体积，单位为毫升（mL）；</w:t>
      </w:r>
    </w:p>
    <w:p w14:paraId="6F6865E3">
      <w:pPr>
        <w:pStyle w:val="8"/>
        <w:tabs>
          <w:tab w:val="center" w:pos="4201"/>
          <w:tab w:val="right" w:leader="dot" w:pos="9298"/>
        </w:tabs>
        <w:ind w:left="1260" w:leftChars="200" w:hanging="840" w:hangingChars="400"/>
        <w:rPr>
          <w:rFonts w:ascii="Times New Roman" w:hAnsi="Times New Roman"/>
          <w:color w:val="000000"/>
          <w:szCs w:val="21"/>
          <w:shd w:val="clear" w:color="auto" w:fill="FFFFFF"/>
        </w:rPr>
      </w:pPr>
      <w:r>
        <w:rPr>
          <w:rFonts w:hint="eastAsia" w:ascii="Times New Roman" w:hAnsi="Times New Roman"/>
          <w:i/>
          <w:iCs/>
          <w:color w:val="000000"/>
          <w:szCs w:val="21"/>
          <w:shd w:val="clear" w:color="auto" w:fill="FFFFFF"/>
        </w:rPr>
        <w:t>F</w:t>
      </w:r>
      <w:r>
        <w:rPr>
          <w:rFonts w:hint="eastAsia" w:ascii="Times New Roman" w:hAnsi="Times New Roman"/>
          <w:color w:val="000000"/>
          <w:szCs w:val="21"/>
          <w:shd w:val="clear" w:color="auto" w:fill="FFFFFF"/>
        </w:rPr>
        <w:t>———试样溶液的稀释倍数。</w:t>
      </w:r>
    </w:p>
    <w:p w14:paraId="1319B2D3">
      <w:pPr>
        <w:pStyle w:val="8"/>
        <w:tabs>
          <w:tab w:val="center" w:pos="4201"/>
          <w:tab w:val="right" w:leader="dot" w:pos="9298"/>
        </w:tabs>
        <w:ind w:left="1260" w:leftChars="200" w:hanging="840" w:hangingChars="400"/>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计算结果表示到小数点后二位。</w:t>
      </w:r>
    </w:p>
    <w:p w14:paraId="5BEDF7C8">
      <w:pPr>
        <w:pStyle w:val="9"/>
        <w:spacing w:before="312" w:beforeLines="100" w:after="312" w:afterLines="100"/>
        <w:rPr>
          <w:rFonts w:ascii="Times New Roman" w:hAnsi="Times New Roman"/>
          <w:sz w:val="24"/>
          <w:szCs w:val="24"/>
        </w:rPr>
      </w:pPr>
      <w:r>
        <w:rPr>
          <w:rFonts w:hint="eastAsia" w:ascii="Times New Roman" w:hAnsi="Times New Roman"/>
          <w:sz w:val="24"/>
          <w:szCs w:val="24"/>
        </w:rPr>
        <w:t>精密度</w:t>
      </w:r>
    </w:p>
    <w:p w14:paraId="53479729">
      <w:pPr>
        <w:pStyle w:val="8"/>
        <w:tabs>
          <w:tab w:val="center" w:pos="4201"/>
          <w:tab w:val="right" w:leader="dot" w:pos="9298"/>
        </w:tabs>
        <w:ind w:firstLine="0" w:firstLineChars="0"/>
        <w:rPr>
          <w:rFonts w:ascii="Times New Roman" w:hAnsi="Times New Roman"/>
          <w:color w:val="FF0000"/>
          <w:szCs w:val="21"/>
          <w:shd w:val="clear" w:color="auto" w:fill="FFFFFF"/>
        </w:rPr>
      </w:pPr>
      <w:r>
        <w:rPr>
          <w:rFonts w:hint="eastAsia" w:ascii="Times New Roman" w:hAnsi="Times New Roman"/>
          <w:color w:val="000000"/>
          <w:szCs w:val="21"/>
          <w:shd w:val="clear" w:color="auto" w:fill="FFFFFF"/>
        </w:rPr>
        <w:t>9.1</w:t>
      </w:r>
      <w:r>
        <w:rPr>
          <w:rFonts w:hint="eastAsia" w:ascii="Times New Roman" w:hAnsi="Times New Roman"/>
          <w:szCs w:val="21"/>
          <w:shd w:val="clear" w:color="auto" w:fill="FFFFFF"/>
        </w:rPr>
        <w:t xml:space="preserve"> 重复性</w:t>
      </w:r>
    </w:p>
    <w:p w14:paraId="7C7EE21F">
      <w:pPr>
        <w:pStyle w:val="8"/>
        <w:tabs>
          <w:tab w:val="center" w:pos="4201"/>
          <w:tab w:val="right" w:leader="dot" w:pos="9298"/>
        </w:tabs>
        <w:ind w:firstLine="420"/>
        <w:rPr>
          <w:rFonts w:ascii="Times New Roman" w:hAnsi="Times New Roman"/>
          <w:color w:val="000000"/>
          <w:szCs w:val="21"/>
          <w:shd w:val="clear" w:color="auto" w:fill="FFFFFF"/>
        </w:rPr>
      </w:pPr>
      <w:r>
        <w:rPr>
          <w:rFonts w:ascii="Times New Roman" w:hAnsi="Times New Roman"/>
          <w:color w:val="000000"/>
          <w:szCs w:val="21"/>
          <w:shd w:val="clear" w:color="auto" w:fill="FFFFFF"/>
        </w:rPr>
        <w:t>在同一实验室,由同一操作者使用相同设备,按相同的测试方法,并在短时间内对同一被测对象相 互独立进行测试获得的两次独立测试结果的绝对值不大于表2列出的重复性限(r),以大于重复性限 (r)的情况不超过5%为前提</w:t>
      </w:r>
      <w:r>
        <w:rPr>
          <w:rFonts w:hint="eastAsia" w:ascii="Times New Roman" w:hAnsi="Times New Roman"/>
          <w:color w:val="000000"/>
          <w:szCs w:val="21"/>
          <w:shd w:val="clear" w:color="auto" w:fill="FFFFFF"/>
        </w:rPr>
        <w:t>。</w:t>
      </w:r>
    </w:p>
    <w:p w14:paraId="2AB5C47C">
      <w:pPr>
        <w:pStyle w:val="8"/>
        <w:tabs>
          <w:tab w:val="center" w:pos="4201"/>
          <w:tab w:val="right" w:leader="dot" w:pos="9298"/>
        </w:tabs>
        <w:ind w:firstLine="3150" w:firstLineChars="1500"/>
        <w:rPr>
          <w:rFonts w:ascii="Times New Roman" w:hAnsi="Times New Roman"/>
          <w:color w:val="000000"/>
          <w:szCs w:val="21"/>
          <w:shd w:val="clear" w:color="auto" w:fill="FFFFFF"/>
        </w:rPr>
      </w:pPr>
      <w:bookmarkStart w:id="3" w:name="_Hlk199064561"/>
      <w:r>
        <w:rPr>
          <w:rFonts w:ascii="Times New Roman" w:hAnsi="Times New Roman"/>
          <w:color w:val="000000"/>
          <w:szCs w:val="21"/>
          <w:shd w:val="clear" w:color="auto" w:fill="FFFFFF"/>
        </w:rPr>
        <w:t>表</w:t>
      </w:r>
      <w:r>
        <w:rPr>
          <w:rFonts w:hint="eastAsia" w:ascii="Times New Roman" w:hAnsi="Times New Roman"/>
          <w:color w:val="000000"/>
          <w:szCs w:val="21"/>
          <w:shd w:val="clear" w:color="auto" w:fill="FFFFFF"/>
        </w:rPr>
        <w:t>1</w:t>
      </w:r>
      <w:r>
        <w:rPr>
          <w:rFonts w:ascii="Times New Roman" w:hAnsi="Times New Roman"/>
          <w:color w:val="000000"/>
          <w:szCs w:val="21"/>
          <w:shd w:val="clear" w:color="auto" w:fill="FFFFFF"/>
        </w:rPr>
        <w:t xml:space="preserve"> 重复性限(r)</w:t>
      </w:r>
    </w:p>
    <w:tbl>
      <w:tblPr>
        <w:tblStyle w:val="6"/>
        <w:tblW w:w="0" w:type="auto"/>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5"/>
        <w:gridCol w:w="2841"/>
        <w:gridCol w:w="2841"/>
      </w:tblGrid>
      <w:tr w14:paraId="33CF7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5" w:type="dxa"/>
          </w:tcPr>
          <w:p w14:paraId="1A3FA164">
            <w:pPr>
              <w:pStyle w:val="8"/>
              <w:widowControl w:val="0"/>
              <w:tabs>
                <w:tab w:val="center" w:pos="4201"/>
                <w:tab w:val="right" w:leader="dot" w:pos="9298"/>
              </w:tabs>
              <w:ind w:firstLine="0" w:firstLineChars="0"/>
              <w:jc w:val="center"/>
              <w:rPr>
                <w:rFonts w:ascii="Times New Roman" w:hAnsi="Times New Roman"/>
                <w:color w:val="000000"/>
                <w:szCs w:val="21"/>
                <w:shd w:val="clear" w:color="auto" w:fill="FFFFFF"/>
              </w:rPr>
            </w:pPr>
          </w:p>
        </w:tc>
        <w:tc>
          <w:tcPr>
            <w:tcW w:w="2841" w:type="dxa"/>
          </w:tcPr>
          <w:p w14:paraId="161F32BA">
            <w:pPr>
              <w:pStyle w:val="8"/>
              <w:widowControl w:val="0"/>
              <w:tabs>
                <w:tab w:val="center" w:pos="4201"/>
                <w:tab w:val="right" w:leader="dot" w:pos="9298"/>
              </w:tabs>
              <w:ind w:firstLine="0" w:firstLineChars="0"/>
              <w:jc w:val="center"/>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含量（%）</w:t>
            </w:r>
          </w:p>
        </w:tc>
        <w:tc>
          <w:tcPr>
            <w:tcW w:w="2841" w:type="dxa"/>
          </w:tcPr>
          <w:p w14:paraId="45E9C24A">
            <w:pPr>
              <w:pStyle w:val="8"/>
              <w:widowControl w:val="0"/>
              <w:tabs>
                <w:tab w:val="center" w:pos="4201"/>
                <w:tab w:val="right" w:leader="dot" w:pos="9298"/>
              </w:tabs>
              <w:ind w:firstLine="0" w:firstLineChars="0"/>
              <w:jc w:val="center"/>
              <w:rPr>
                <w:rFonts w:ascii="Times New Roman" w:hAnsi="Times New Roman"/>
                <w:color w:val="000000"/>
                <w:szCs w:val="21"/>
                <w:shd w:val="clear" w:color="auto" w:fill="FFFFFF"/>
              </w:rPr>
            </w:pPr>
            <w:r>
              <w:rPr>
                <w:rFonts w:ascii="Times New Roman" w:hAnsi="Times New Roman"/>
                <w:color w:val="000000"/>
                <w:szCs w:val="21"/>
                <w:shd w:val="clear" w:color="auto" w:fill="FFFFFF"/>
              </w:rPr>
              <w:t>重复性限(r)</w:t>
            </w:r>
          </w:p>
        </w:tc>
      </w:tr>
      <w:tr w14:paraId="13B31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5" w:type="dxa"/>
          </w:tcPr>
          <w:p w14:paraId="3A20CBA5">
            <w:pPr>
              <w:pStyle w:val="8"/>
              <w:widowControl w:val="0"/>
              <w:tabs>
                <w:tab w:val="center" w:pos="4201"/>
                <w:tab w:val="right" w:leader="dot" w:pos="9298"/>
              </w:tabs>
              <w:ind w:firstLine="0" w:firstLineChars="0"/>
              <w:jc w:val="center"/>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三氧化二铁</w:t>
            </w:r>
          </w:p>
        </w:tc>
        <w:tc>
          <w:tcPr>
            <w:tcW w:w="2841" w:type="dxa"/>
          </w:tcPr>
          <w:p w14:paraId="17313B08">
            <w:pPr>
              <w:pStyle w:val="8"/>
              <w:widowControl w:val="0"/>
              <w:tabs>
                <w:tab w:val="center" w:pos="4201"/>
                <w:tab w:val="right" w:leader="dot" w:pos="9298"/>
              </w:tabs>
              <w:ind w:firstLine="0" w:firstLineChars="0"/>
              <w:jc w:val="center"/>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0.30≤</w:t>
            </w:r>
            <w:r>
              <w:rPr>
                <w:rFonts w:ascii="Times New Roman" w:hAnsi="Times New Roman"/>
                <w:i/>
                <w:iCs/>
                <w:color w:val="000000"/>
                <w:szCs w:val="21"/>
                <w:shd w:val="clear" w:color="auto" w:fill="FFFFFF"/>
              </w:rPr>
              <w:t>ω</w:t>
            </w:r>
            <w:r>
              <w:rPr>
                <w:rFonts w:hint="eastAsia" w:ascii="Times New Roman" w:hAnsi="Times New Roman"/>
                <w:color w:val="000000"/>
                <w:szCs w:val="21"/>
                <w:shd w:val="clear" w:color="auto" w:fill="FFFFFF"/>
                <w:vertAlign w:val="subscript"/>
              </w:rPr>
              <w:t>i</w:t>
            </w:r>
            <w:r>
              <w:rPr>
                <w:rFonts w:hint="eastAsia" w:ascii="Times New Roman" w:hAnsi="Times New Roman"/>
                <w:color w:val="000000"/>
                <w:szCs w:val="21"/>
                <w:shd w:val="clear" w:color="auto" w:fill="FFFFFF"/>
              </w:rPr>
              <w:t>≤2.00</w:t>
            </w:r>
          </w:p>
        </w:tc>
        <w:tc>
          <w:tcPr>
            <w:tcW w:w="2841" w:type="dxa"/>
          </w:tcPr>
          <w:p w14:paraId="56B25D53">
            <w:pPr>
              <w:pStyle w:val="8"/>
              <w:widowControl w:val="0"/>
              <w:tabs>
                <w:tab w:val="center" w:pos="4201"/>
                <w:tab w:val="right" w:leader="dot" w:pos="9298"/>
              </w:tabs>
              <w:ind w:firstLine="0" w:firstLineChars="0"/>
              <w:jc w:val="center"/>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其平均值的10%</w:t>
            </w:r>
          </w:p>
        </w:tc>
      </w:tr>
      <w:tr w14:paraId="7C1CA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5" w:type="dxa"/>
          </w:tcPr>
          <w:p w14:paraId="5828C93A">
            <w:pPr>
              <w:pStyle w:val="8"/>
              <w:widowControl w:val="0"/>
              <w:tabs>
                <w:tab w:val="center" w:pos="4201"/>
                <w:tab w:val="right" w:leader="dot" w:pos="9298"/>
              </w:tabs>
              <w:ind w:firstLine="0" w:firstLineChars="0"/>
              <w:jc w:val="center"/>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氧化锂</w:t>
            </w:r>
          </w:p>
        </w:tc>
        <w:tc>
          <w:tcPr>
            <w:tcW w:w="2841" w:type="dxa"/>
          </w:tcPr>
          <w:p w14:paraId="2FBCAC02">
            <w:pPr>
              <w:pStyle w:val="8"/>
              <w:widowControl w:val="0"/>
              <w:tabs>
                <w:tab w:val="center" w:pos="4201"/>
                <w:tab w:val="right" w:leader="dot" w:pos="9298"/>
              </w:tabs>
              <w:ind w:firstLine="0" w:firstLineChars="0"/>
              <w:jc w:val="center"/>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1.0≤</w:t>
            </w:r>
            <w:r>
              <w:rPr>
                <w:rFonts w:ascii="Times New Roman" w:hAnsi="Times New Roman"/>
                <w:i/>
                <w:iCs/>
                <w:color w:val="000000"/>
                <w:szCs w:val="21"/>
                <w:shd w:val="clear" w:color="auto" w:fill="FFFFFF"/>
              </w:rPr>
              <w:t>ω</w:t>
            </w:r>
            <w:r>
              <w:rPr>
                <w:rFonts w:hint="eastAsia" w:ascii="Times New Roman" w:hAnsi="Times New Roman"/>
                <w:color w:val="000000"/>
                <w:szCs w:val="21"/>
                <w:shd w:val="clear" w:color="auto" w:fill="FFFFFF"/>
                <w:vertAlign w:val="subscript"/>
              </w:rPr>
              <w:t>i</w:t>
            </w:r>
            <w:r>
              <w:rPr>
                <w:rFonts w:hint="eastAsia" w:ascii="Times New Roman" w:hAnsi="Times New Roman"/>
                <w:color w:val="000000"/>
                <w:szCs w:val="21"/>
                <w:shd w:val="clear" w:color="auto" w:fill="FFFFFF"/>
              </w:rPr>
              <w:t>≤7.0</w:t>
            </w:r>
          </w:p>
        </w:tc>
        <w:tc>
          <w:tcPr>
            <w:tcW w:w="2841" w:type="dxa"/>
          </w:tcPr>
          <w:p w14:paraId="741F9ED1">
            <w:pPr>
              <w:pStyle w:val="8"/>
              <w:widowControl w:val="0"/>
              <w:tabs>
                <w:tab w:val="center" w:pos="4201"/>
                <w:tab w:val="right" w:leader="dot" w:pos="9298"/>
              </w:tabs>
              <w:ind w:firstLine="0" w:firstLineChars="0"/>
              <w:jc w:val="center"/>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其平均值的5%</w:t>
            </w:r>
          </w:p>
        </w:tc>
      </w:tr>
      <w:bookmarkEnd w:id="3"/>
    </w:tbl>
    <w:p w14:paraId="731E8F2F">
      <w:pPr>
        <w:pStyle w:val="8"/>
        <w:tabs>
          <w:tab w:val="center" w:pos="4201"/>
          <w:tab w:val="right" w:leader="dot" w:pos="9298"/>
        </w:tabs>
        <w:ind w:firstLine="199" w:firstLineChars="95"/>
        <w:jc w:val="center"/>
        <w:rPr>
          <w:rFonts w:ascii="Times New Roman" w:hAnsi="Times New Roman"/>
          <w:color w:val="000000"/>
          <w:szCs w:val="21"/>
          <w:shd w:val="clear" w:color="auto" w:fill="FFFFFF"/>
        </w:rPr>
      </w:pPr>
    </w:p>
    <w:p w14:paraId="7668065E">
      <w:pPr>
        <w:pStyle w:val="8"/>
        <w:tabs>
          <w:tab w:val="center" w:pos="4201"/>
          <w:tab w:val="right" w:leader="dot" w:pos="9298"/>
        </w:tabs>
        <w:ind w:firstLine="0" w:firstLineChars="0"/>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 xml:space="preserve">9.2 </w:t>
      </w:r>
      <w:r>
        <w:rPr>
          <w:rFonts w:hint="eastAsia" w:ascii="Times New Roman" w:hAnsi="Times New Roman"/>
          <w:szCs w:val="21"/>
          <w:shd w:val="clear" w:color="auto" w:fill="FFFFFF"/>
        </w:rPr>
        <w:t>再现性</w:t>
      </w:r>
    </w:p>
    <w:p w14:paraId="0FC92D93">
      <w:pPr>
        <w:pStyle w:val="8"/>
        <w:tabs>
          <w:tab w:val="center" w:pos="4201"/>
          <w:tab w:val="right" w:leader="dot" w:pos="9298"/>
        </w:tabs>
        <w:ind w:firstLine="0" w:firstLineChars="0"/>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 xml:space="preserve">    </w:t>
      </w:r>
      <w:r>
        <w:rPr>
          <w:rFonts w:ascii="Times New Roman" w:hAnsi="Times New Roman"/>
          <w:color w:val="000000"/>
          <w:szCs w:val="21"/>
          <w:shd w:val="clear" w:color="auto" w:fill="FFFFFF"/>
        </w:rPr>
        <w:t>在不同的实验室,由不同操作者操作不同的设备,按相同的测试方法,对同一被测对象相互独立进 行测试获得的两次独立测试结果的绝对差值不大于表3列出的再现性限(R),以大于再现性限(R)的情 况不超过5%为前提。</w:t>
      </w:r>
    </w:p>
    <w:p w14:paraId="33E629C2">
      <w:pPr>
        <w:jc w:val="center"/>
        <w:rPr>
          <w:color w:val="000000"/>
          <w:kern w:val="0"/>
          <w:szCs w:val="21"/>
          <w:shd w:val="clear" w:color="auto" w:fill="FFFFFF"/>
        </w:rPr>
      </w:pPr>
      <w:r>
        <w:rPr>
          <w:color w:val="000000"/>
          <w:kern w:val="0"/>
          <w:szCs w:val="21"/>
          <w:shd w:val="clear" w:color="auto" w:fill="FFFFFF"/>
        </w:rPr>
        <w:t>表</w:t>
      </w:r>
      <w:r>
        <w:rPr>
          <w:rFonts w:hint="eastAsia"/>
          <w:color w:val="000000"/>
          <w:kern w:val="0"/>
          <w:szCs w:val="21"/>
          <w:shd w:val="clear" w:color="auto" w:fill="FFFFFF"/>
        </w:rPr>
        <w:t>2再现</w:t>
      </w:r>
      <w:r>
        <w:rPr>
          <w:color w:val="000000"/>
          <w:kern w:val="0"/>
          <w:szCs w:val="21"/>
          <w:shd w:val="clear" w:color="auto" w:fill="FFFFFF"/>
        </w:rPr>
        <w:t>性限(</w:t>
      </w:r>
      <w:r>
        <w:rPr>
          <w:rFonts w:hint="eastAsia"/>
          <w:color w:val="000000"/>
          <w:kern w:val="0"/>
          <w:szCs w:val="21"/>
          <w:shd w:val="clear" w:color="auto" w:fill="FFFFFF"/>
        </w:rPr>
        <w:t>R</w:t>
      </w:r>
      <w:r>
        <w:rPr>
          <w:color w:val="000000"/>
          <w:kern w:val="0"/>
          <w:szCs w:val="21"/>
          <w:shd w:val="clear" w:color="auto" w:fill="FFFFFF"/>
        </w:rPr>
        <w:t>)</w:t>
      </w:r>
    </w:p>
    <w:tbl>
      <w:tblPr>
        <w:tblStyle w:val="6"/>
        <w:tblW w:w="0" w:type="auto"/>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5"/>
        <w:gridCol w:w="2841"/>
        <w:gridCol w:w="2841"/>
      </w:tblGrid>
      <w:tr w14:paraId="253FB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5" w:type="dxa"/>
          </w:tcPr>
          <w:p w14:paraId="1FDCCAA6">
            <w:pPr>
              <w:jc w:val="center"/>
              <w:rPr>
                <w:color w:val="000000"/>
                <w:kern w:val="0"/>
                <w:szCs w:val="21"/>
                <w:shd w:val="clear" w:color="auto" w:fill="FFFFFF"/>
              </w:rPr>
            </w:pPr>
          </w:p>
        </w:tc>
        <w:tc>
          <w:tcPr>
            <w:tcW w:w="2841" w:type="dxa"/>
          </w:tcPr>
          <w:p w14:paraId="74570D9B">
            <w:pPr>
              <w:jc w:val="center"/>
              <w:rPr>
                <w:color w:val="000000"/>
                <w:kern w:val="0"/>
                <w:szCs w:val="21"/>
                <w:shd w:val="clear" w:color="auto" w:fill="FFFFFF"/>
              </w:rPr>
            </w:pPr>
            <w:r>
              <w:rPr>
                <w:rFonts w:hint="eastAsia"/>
                <w:color w:val="000000"/>
                <w:kern w:val="0"/>
                <w:szCs w:val="21"/>
                <w:shd w:val="clear" w:color="auto" w:fill="FFFFFF"/>
              </w:rPr>
              <w:t>含量（%）</w:t>
            </w:r>
          </w:p>
        </w:tc>
        <w:tc>
          <w:tcPr>
            <w:tcW w:w="2841" w:type="dxa"/>
          </w:tcPr>
          <w:p w14:paraId="4AB1E234">
            <w:pPr>
              <w:jc w:val="center"/>
              <w:rPr>
                <w:color w:val="000000"/>
                <w:kern w:val="0"/>
                <w:szCs w:val="21"/>
                <w:shd w:val="clear" w:color="auto" w:fill="FFFFFF"/>
              </w:rPr>
            </w:pPr>
            <w:r>
              <w:rPr>
                <w:rFonts w:hint="eastAsia"/>
                <w:color w:val="000000"/>
                <w:kern w:val="0"/>
                <w:szCs w:val="21"/>
                <w:shd w:val="clear" w:color="auto" w:fill="FFFFFF"/>
              </w:rPr>
              <w:t>再现</w:t>
            </w:r>
            <w:r>
              <w:rPr>
                <w:color w:val="000000"/>
                <w:kern w:val="0"/>
                <w:szCs w:val="21"/>
                <w:shd w:val="clear" w:color="auto" w:fill="FFFFFF"/>
              </w:rPr>
              <w:t>性限(</w:t>
            </w:r>
            <w:r>
              <w:rPr>
                <w:rFonts w:hint="eastAsia"/>
                <w:color w:val="000000"/>
                <w:kern w:val="0"/>
                <w:szCs w:val="21"/>
                <w:shd w:val="clear" w:color="auto" w:fill="FFFFFF"/>
              </w:rPr>
              <w:t>R</w:t>
            </w:r>
            <w:r>
              <w:rPr>
                <w:color w:val="000000"/>
                <w:kern w:val="0"/>
                <w:szCs w:val="21"/>
                <w:shd w:val="clear" w:color="auto" w:fill="FFFFFF"/>
              </w:rPr>
              <w:t>)</w:t>
            </w:r>
          </w:p>
        </w:tc>
      </w:tr>
      <w:tr w14:paraId="24B23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5" w:type="dxa"/>
          </w:tcPr>
          <w:p w14:paraId="1887E8FD">
            <w:pPr>
              <w:jc w:val="center"/>
              <w:rPr>
                <w:color w:val="000000"/>
                <w:kern w:val="0"/>
                <w:szCs w:val="21"/>
                <w:shd w:val="clear" w:color="auto" w:fill="FFFFFF"/>
              </w:rPr>
            </w:pPr>
            <w:r>
              <w:rPr>
                <w:rFonts w:hint="eastAsia"/>
                <w:color w:val="000000"/>
                <w:kern w:val="0"/>
                <w:szCs w:val="21"/>
                <w:shd w:val="clear" w:color="auto" w:fill="FFFFFF"/>
              </w:rPr>
              <w:t>三氧化二铁</w:t>
            </w:r>
          </w:p>
        </w:tc>
        <w:tc>
          <w:tcPr>
            <w:tcW w:w="2841" w:type="dxa"/>
          </w:tcPr>
          <w:p w14:paraId="3101F652">
            <w:pPr>
              <w:jc w:val="center"/>
              <w:rPr>
                <w:color w:val="000000"/>
                <w:kern w:val="0"/>
                <w:szCs w:val="21"/>
                <w:shd w:val="clear" w:color="auto" w:fill="FFFFFF"/>
              </w:rPr>
            </w:pPr>
            <w:r>
              <w:rPr>
                <w:rFonts w:hint="eastAsia"/>
                <w:color w:val="000000"/>
                <w:kern w:val="0"/>
                <w:szCs w:val="21"/>
                <w:shd w:val="clear" w:color="auto" w:fill="FFFFFF"/>
              </w:rPr>
              <w:t>0.30≤</w:t>
            </w:r>
            <w:r>
              <w:rPr>
                <w:i/>
                <w:iCs/>
                <w:color w:val="000000"/>
                <w:szCs w:val="21"/>
                <w:shd w:val="clear" w:color="auto" w:fill="FFFFFF"/>
              </w:rPr>
              <w:t>ω</w:t>
            </w:r>
            <w:r>
              <w:rPr>
                <w:rFonts w:hint="eastAsia"/>
                <w:color w:val="000000"/>
                <w:szCs w:val="21"/>
                <w:shd w:val="clear" w:color="auto" w:fill="FFFFFF"/>
                <w:vertAlign w:val="subscript"/>
              </w:rPr>
              <w:t>i</w:t>
            </w:r>
            <w:r>
              <w:rPr>
                <w:rFonts w:hint="eastAsia"/>
                <w:color w:val="000000"/>
                <w:kern w:val="0"/>
                <w:szCs w:val="21"/>
                <w:shd w:val="clear" w:color="auto" w:fill="FFFFFF"/>
              </w:rPr>
              <w:t>≤2.00</w:t>
            </w:r>
          </w:p>
        </w:tc>
        <w:tc>
          <w:tcPr>
            <w:tcW w:w="2841" w:type="dxa"/>
          </w:tcPr>
          <w:p w14:paraId="33537B69">
            <w:pPr>
              <w:jc w:val="center"/>
              <w:rPr>
                <w:color w:val="000000"/>
                <w:kern w:val="0"/>
                <w:szCs w:val="21"/>
                <w:shd w:val="clear" w:color="auto" w:fill="FFFFFF"/>
              </w:rPr>
            </w:pPr>
            <w:r>
              <w:rPr>
                <w:rFonts w:hint="eastAsia"/>
                <w:color w:val="000000"/>
                <w:kern w:val="0"/>
                <w:szCs w:val="21"/>
                <w:shd w:val="clear" w:color="auto" w:fill="FFFFFF"/>
              </w:rPr>
              <w:t>其平均值的15%</w:t>
            </w:r>
          </w:p>
        </w:tc>
      </w:tr>
      <w:tr w14:paraId="38238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5" w:type="dxa"/>
          </w:tcPr>
          <w:p w14:paraId="6463DC5B">
            <w:pPr>
              <w:jc w:val="center"/>
              <w:rPr>
                <w:color w:val="000000"/>
                <w:kern w:val="0"/>
                <w:szCs w:val="21"/>
                <w:shd w:val="clear" w:color="auto" w:fill="FFFFFF"/>
              </w:rPr>
            </w:pPr>
            <w:r>
              <w:rPr>
                <w:rFonts w:hint="eastAsia"/>
                <w:color w:val="000000"/>
                <w:kern w:val="0"/>
                <w:szCs w:val="21"/>
                <w:shd w:val="clear" w:color="auto" w:fill="FFFFFF"/>
              </w:rPr>
              <w:t>氧化锂</w:t>
            </w:r>
          </w:p>
        </w:tc>
        <w:tc>
          <w:tcPr>
            <w:tcW w:w="2841" w:type="dxa"/>
          </w:tcPr>
          <w:p w14:paraId="66098AEA">
            <w:pPr>
              <w:jc w:val="center"/>
              <w:rPr>
                <w:color w:val="000000"/>
                <w:kern w:val="0"/>
                <w:szCs w:val="21"/>
                <w:shd w:val="clear" w:color="auto" w:fill="FFFFFF"/>
              </w:rPr>
            </w:pPr>
            <w:r>
              <w:rPr>
                <w:rFonts w:hint="eastAsia"/>
                <w:color w:val="000000"/>
                <w:kern w:val="0"/>
                <w:szCs w:val="21"/>
                <w:shd w:val="clear" w:color="auto" w:fill="FFFFFF"/>
              </w:rPr>
              <w:t>1.0≤</w:t>
            </w:r>
            <w:r>
              <w:rPr>
                <w:i/>
                <w:iCs/>
                <w:color w:val="000000"/>
                <w:szCs w:val="21"/>
                <w:shd w:val="clear" w:color="auto" w:fill="FFFFFF"/>
              </w:rPr>
              <w:t>ω</w:t>
            </w:r>
            <w:r>
              <w:rPr>
                <w:rFonts w:hint="eastAsia"/>
                <w:color w:val="000000"/>
                <w:szCs w:val="21"/>
                <w:shd w:val="clear" w:color="auto" w:fill="FFFFFF"/>
                <w:vertAlign w:val="subscript"/>
              </w:rPr>
              <w:t>i</w:t>
            </w:r>
            <w:r>
              <w:rPr>
                <w:rFonts w:hint="eastAsia"/>
                <w:color w:val="000000"/>
                <w:kern w:val="0"/>
                <w:szCs w:val="21"/>
                <w:shd w:val="clear" w:color="auto" w:fill="FFFFFF"/>
              </w:rPr>
              <w:t>≤7.0</w:t>
            </w:r>
          </w:p>
        </w:tc>
        <w:tc>
          <w:tcPr>
            <w:tcW w:w="2841" w:type="dxa"/>
          </w:tcPr>
          <w:p w14:paraId="17231684">
            <w:pPr>
              <w:jc w:val="center"/>
              <w:rPr>
                <w:color w:val="000000"/>
                <w:kern w:val="0"/>
                <w:szCs w:val="21"/>
                <w:shd w:val="clear" w:color="auto" w:fill="FFFFFF"/>
              </w:rPr>
            </w:pPr>
            <w:r>
              <w:rPr>
                <w:rFonts w:hint="eastAsia"/>
                <w:color w:val="000000"/>
                <w:kern w:val="0"/>
                <w:szCs w:val="21"/>
                <w:shd w:val="clear" w:color="auto" w:fill="FFFFFF"/>
              </w:rPr>
              <w:t>其平均值的8%</w:t>
            </w:r>
          </w:p>
        </w:tc>
      </w:tr>
    </w:tbl>
    <w:p w14:paraId="45383426">
      <w:pPr>
        <w:jc w:val="center"/>
        <w:rPr>
          <w:color w:val="000000"/>
          <w:kern w:val="0"/>
          <w:szCs w:val="21"/>
          <w:shd w:val="clear" w:color="auto" w:fill="FFFFFF"/>
        </w:rPr>
      </w:pPr>
    </w:p>
    <w:p w14:paraId="18356DFF">
      <w:pPr>
        <w:jc w:val="center"/>
        <w:rPr>
          <w:color w:val="000000"/>
          <w:kern w:val="0"/>
          <w:szCs w:val="21"/>
          <w:shd w:val="clear" w:color="auto" w:fill="FFFFFF"/>
        </w:rPr>
      </w:pPr>
    </w:p>
    <w:p w14:paraId="54C9A175">
      <w:pPr>
        <w:jc w:val="center"/>
        <w:rPr>
          <w:color w:val="000000"/>
          <w:kern w:val="0"/>
          <w:szCs w:val="21"/>
          <w:shd w:val="clear" w:color="auto" w:fill="FFFFFF"/>
        </w:rPr>
      </w:pPr>
    </w:p>
    <w:p w14:paraId="5643ECD4">
      <w:pPr>
        <w:jc w:val="center"/>
        <w:rPr>
          <w:color w:val="000000"/>
          <w:kern w:val="0"/>
          <w:szCs w:val="21"/>
          <w:shd w:val="clear" w:color="auto" w:fill="FFFFFF"/>
        </w:rPr>
      </w:pPr>
    </w:p>
    <w:p w14:paraId="06E16D5E">
      <w:pPr>
        <w:jc w:val="center"/>
        <w:rPr>
          <w:color w:val="000000"/>
          <w:kern w:val="0"/>
          <w:szCs w:val="21"/>
          <w:shd w:val="clear" w:color="auto" w:fill="FFFFFF"/>
        </w:rPr>
      </w:pPr>
    </w:p>
    <w:p w14:paraId="112D554A">
      <w:pPr>
        <w:jc w:val="center"/>
        <w:rPr>
          <w:color w:val="000000"/>
          <w:kern w:val="0"/>
          <w:szCs w:val="21"/>
          <w:shd w:val="clear" w:color="auto" w:fill="FFFFFF"/>
        </w:rPr>
      </w:pPr>
    </w:p>
    <w:p w14:paraId="132DBCD2">
      <w:pPr>
        <w:jc w:val="center"/>
        <w:rPr>
          <w:color w:val="000000"/>
          <w:kern w:val="0"/>
          <w:szCs w:val="21"/>
          <w:shd w:val="clear" w:color="auto" w:fill="FFFFFF"/>
        </w:rPr>
      </w:pPr>
    </w:p>
    <w:p w14:paraId="5CB17BF6">
      <w:pPr>
        <w:jc w:val="center"/>
        <w:rPr>
          <w:color w:val="000000"/>
          <w:kern w:val="0"/>
          <w:szCs w:val="21"/>
          <w:shd w:val="clear" w:color="auto" w:fill="FFFFFF"/>
        </w:rPr>
      </w:pPr>
    </w:p>
    <w:p w14:paraId="1FED64A3">
      <w:pPr>
        <w:jc w:val="center"/>
        <w:rPr>
          <w:color w:val="000000"/>
          <w:kern w:val="0"/>
          <w:szCs w:val="21"/>
          <w:shd w:val="clear" w:color="auto" w:fill="FFFFFF"/>
        </w:rPr>
      </w:pPr>
    </w:p>
    <w:p w14:paraId="713A73A4">
      <w:pPr>
        <w:jc w:val="center"/>
        <w:rPr>
          <w:color w:val="000000"/>
          <w:kern w:val="0"/>
          <w:szCs w:val="21"/>
          <w:shd w:val="clear" w:color="auto" w:fill="FFFFFF"/>
        </w:rPr>
      </w:pPr>
    </w:p>
    <w:p w14:paraId="6A733DC8">
      <w:pPr>
        <w:jc w:val="center"/>
        <w:rPr>
          <w:color w:val="000000"/>
          <w:kern w:val="0"/>
          <w:szCs w:val="21"/>
          <w:shd w:val="clear" w:color="auto" w:fill="FFFFFF"/>
        </w:rPr>
      </w:pPr>
      <w:r>
        <w:rPr>
          <w:rFonts w:hint="eastAsia"/>
          <w:color w:val="000000"/>
          <w:kern w:val="0"/>
          <w:szCs w:val="21"/>
          <w:shd w:val="clear" w:color="auto" w:fill="FFFFFF"/>
        </w:rPr>
        <w:br w:type="page"/>
      </w:r>
    </w:p>
    <w:p w14:paraId="62160E60">
      <w:pPr>
        <w:pStyle w:val="8"/>
        <w:tabs>
          <w:tab w:val="center" w:pos="4201"/>
          <w:tab w:val="right" w:leader="dot" w:pos="9298"/>
        </w:tabs>
        <w:ind w:firstLine="0" w:firstLineChars="0"/>
        <w:jc w:val="center"/>
        <w:rPr>
          <w:rFonts w:hint="eastAsia" w:ascii="黑体" w:hAnsi="黑体" w:eastAsia="黑体" w:cs="黑体"/>
          <w:color w:val="000000"/>
          <w:szCs w:val="21"/>
          <w:shd w:val="clear" w:color="auto" w:fill="FFFFFF"/>
        </w:rPr>
      </w:pPr>
      <w:r>
        <w:rPr>
          <w:rFonts w:hint="eastAsia" w:ascii="黑体" w:hAnsi="黑体" w:eastAsia="黑体" w:cs="黑体"/>
          <w:color w:val="000000"/>
          <w:szCs w:val="21"/>
          <w:shd w:val="clear" w:color="auto" w:fill="FFFFFF"/>
        </w:rPr>
        <w:t>附  录  A</w:t>
      </w:r>
    </w:p>
    <w:p w14:paraId="03326839">
      <w:pPr>
        <w:pStyle w:val="8"/>
        <w:tabs>
          <w:tab w:val="center" w:pos="4201"/>
          <w:tab w:val="right" w:leader="dot" w:pos="9298"/>
        </w:tabs>
        <w:ind w:firstLine="0" w:firstLineChars="0"/>
        <w:jc w:val="center"/>
        <w:rPr>
          <w:rFonts w:hint="eastAsia" w:ascii="黑体" w:hAnsi="黑体" w:eastAsia="黑体" w:cs="黑体"/>
          <w:color w:val="000000"/>
          <w:szCs w:val="21"/>
          <w:shd w:val="clear" w:color="auto" w:fill="FFFFFF"/>
        </w:rPr>
      </w:pPr>
      <w:r>
        <w:rPr>
          <w:rFonts w:hint="eastAsia" w:ascii="黑体" w:hAnsi="黑体" w:eastAsia="黑体" w:cs="黑体"/>
          <w:color w:val="000000"/>
          <w:szCs w:val="21"/>
          <w:shd w:val="clear" w:color="auto" w:fill="FFFFFF"/>
        </w:rPr>
        <w:t>（资料性附录）</w:t>
      </w:r>
    </w:p>
    <w:p w14:paraId="3FD50309">
      <w:pPr>
        <w:pStyle w:val="8"/>
        <w:tabs>
          <w:tab w:val="center" w:pos="4201"/>
          <w:tab w:val="right" w:leader="dot" w:pos="9298"/>
        </w:tabs>
        <w:ind w:firstLine="0" w:firstLineChars="0"/>
        <w:jc w:val="center"/>
        <w:rPr>
          <w:rFonts w:hint="eastAsia" w:ascii="黑体" w:hAnsi="黑体" w:eastAsia="黑体" w:cs="黑体"/>
          <w:color w:val="000000"/>
          <w:szCs w:val="21"/>
          <w:shd w:val="clear" w:color="auto" w:fill="FFFFFF"/>
        </w:rPr>
      </w:pPr>
      <w:r>
        <w:rPr>
          <w:rFonts w:hint="eastAsia" w:ascii="黑体" w:hAnsi="黑体" w:eastAsia="黑体" w:cs="黑体"/>
          <w:color w:val="000000"/>
          <w:szCs w:val="21"/>
          <w:shd w:val="clear" w:color="auto" w:fill="FFFFFF"/>
        </w:rPr>
        <w:t>仪器工作条件</w:t>
      </w:r>
    </w:p>
    <w:p w14:paraId="69E2502E">
      <w:pPr>
        <w:pStyle w:val="8"/>
        <w:tabs>
          <w:tab w:val="center" w:pos="4201"/>
          <w:tab w:val="right" w:leader="dot" w:pos="9298"/>
        </w:tabs>
        <w:ind w:firstLine="0" w:firstLineChars="0"/>
        <w:jc w:val="left"/>
        <w:rPr>
          <w:rFonts w:ascii="Times New Roman" w:hAnsi="Times New Roman" w:eastAsia="黑体"/>
          <w:color w:val="000000"/>
          <w:szCs w:val="21"/>
          <w:shd w:val="clear" w:color="auto" w:fill="FFFFFF"/>
        </w:rPr>
      </w:pPr>
      <w:r>
        <w:rPr>
          <w:rFonts w:ascii="Times New Roman" w:hAnsi="Times New Roman" w:eastAsia="黑体"/>
          <w:color w:val="000000"/>
          <w:szCs w:val="21"/>
          <w:shd w:val="clear" w:color="auto" w:fill="FFFFFF"/>
        </w:rPr>
        <w:t>A.1 仪器工作条件见表A.1。</w:t>
      </w:r>
    </w:p>
    <w:p w14:paraId="2A2AD25F">
      <w:pPr>
        <w:pStyle w:val="8"/>
        <w:tabs>
          <w:tab w:val="center" w:pos="4201"/>
          <w:tab w:val="right" w:leader="dot" w:pos="9298"/>
        </w:tabs>
        <w:ind w:firstLine="0" w:firstLineChars="0"/>
        <w:jc w:val="center"/>
        <w:rPr>
          <w:rFonts w:hint="eastAsia" w:ascii="黑体" w:hAnsi="黑体" w:eastAsia="黑体" w:cs="黑体"/>
          <w:b/>
          <w:bCs/>
          <w:color w:val="000000"/>
          <w:szCs w:val="21"/>
          <w:shd w:val="clear" w:color="auto" w:fill="FFFFFF"/>
        </w:rPr>
      </w:pPr>
      <w:r>
        <w:rPr>
          <w:rFonts w:hint="eastAsia" w:ascii="黑体" w:hAnsi="黑体" w:eastAsia="黑体" w:cs="黑体"/>
          <w:b/>
          <w:bCs/>
          <w:color w:val="000000"/>
          <w:szCs w:val="21"/>
          <w:shd w:val="clear" w:color="auto" w:fill="FFFFFF"/>
        </w:rPr>
        <w:t>表A.1 仪器工作条件</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14:paraId="1CCC6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Borders>
              <w:top w:val="single" w:color="auto" w:sz="12" w:space="0"/>
              <w:left w:val="single" w:color="auto" w:sz="12" w:space="0"/>
              <w:bottom w:val="single" w:color="auto" w:sz="12" w:space="0"/>
              <w:right w:val="single" w:color="auto" w:sz="6" w:space="0"/>
            </w:tcBorders>
            <w:vAlign w:val="center"/>
          </w:tcPr>
          <w:p w14:paraId="47D5624C">
            <w:pPr>
              <w:pStyle w:val="8"/>
              <w:widowControl/>
              <w:tabs>
                <w:tab w:val="center" w:pos="4201"/>
                <w:tab w:val="right" w:leader="dot" w:pos="9298"/>
              </w:tabs>
              <w:ind w:firstLine="420"/>
              <w:jc w:val="center"/>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项目</w:t>
            </w:r>
          </w:p>
        </w:tc>
        <w:tc>
          <w:tcPr>
            <w:tcW w:w="4261" w:type="dxa"/>
            <w:tcBorders>
              <w:top w:val="single" w:color="auto" w:sz="12" w:space="0"/>
              <w:left w:val="single" w:color="auto" w:sz="6" w:space="0"/>
              <w:bottom w:val="single" w:color="auto" w:sz="12" w:space="0"/>
              <w:right w:val="single" w:color="auto" w:sz="12" w:space="0"/>
            </w:tcBorders>
            <w:vAlign w:val="center"/>
          </w:tcPr>
          <w:p w14:paraId="6028EB01">
            <w:pPr>
              <w:pStyle w:val="8"/>
              <w:widowControl/>
              <w:tabs>
                <w:tab w:val="center" w:pos="4201"/>
                <w:tab w:val="right" w:leader="dot" w:pos="9298"/>
              </w:tabs>
              <w:ind w:firstLine="420"/>
              <w:jc w:val="center"/>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工作参数</w:t>
            </w:r>
          </w:p>
        </w:tc>
      </w:tr>
      <w:tr w14:paraId="42370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Borders>
              <w:top w:val="single" w:color="auto" w:sz="12" w:space="0"/>
              <w:left w:val="single" w:color="auto" w:sz="12" w:space="0"/>
              <w:bottom w:val="single" w:color="auto" w:sz="6" w:space="0"/>
              <w:right w:val="single" w:color="auto" w:sz="6" w:space="0"/>
            </w:tcBorders>
            <w:vAlign w:val="center"/>
          </w:tcPr>
          <w:p w14:paraId="688C92A1">
            <w:pPr>
              <w:pStyle w:val="8"/>
              <w:widowControl/>
              <w:tabs>
                <w:tab w:val="center" w:pos="4201"/>
                <w:tab w:val="right" w:leader="dot" w:pos="9298"/>
              </w:tabs>
              <w:ind w:firstLine="420"/>
              <w:jc w:val="center"/>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射频发生器功率</w:t>
            </w:r>
          </w:p>
        </w:tc>
        <w:tc>
          <w:tcPr>
            <w:tcW w:w="4261" w:type="dxa"/>
            <w:tcBorders>
              <w:top w:val="single" w:color="auto" w:sz="12" w:space="0"/>
              <w:left w:val="single" w:color="auto" w:sz="6" w:space="0"/>
              <w:bottom w:val="single" w:color="auto" w:sz="6" w:space="0"/>
              <w:right w:val="single" w:color="auto" w:sz="12" w:space="0"/>
            </w:tcBorders>
            <w:vAlign w:val="center"/>
          </w:tcPr>
          <w:p w14:paraId="73E20DC4">
            <w:pPr>
              <w:pStyle w:val="8"/>
              <w:widowControl/>
              <w:tabs>
                <w:tab w:val="center" w:pos="4201"/>
                <w:tab w:val="right" w:leader="dot" w:pos="9298"/>
              </w:tabs>
              <w:ind w:firstLine="420"/>
              <w:jc w:val="center"/>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1300W</w:t>
            </w:r>
          </w:p>
        </w:tc>
      </w:tr>
      <w:tr w14:paraId="0341A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Borders>
              <w:top w:val="single" w:color="auto" w:sz="6" w:space="0"/>
              <w:left w:val="single" w:color="auto" w:sz="12" w:space="0"/>
              <w:bottom w:val="single" w:color="auto" w:sz="6" w:space="0"/>
              <w:right w:val="single" w:color="auto" w:sz="6" w:space="0"/>
            </w:tcBorders>
            <w:vAlign w:val="center"/>
          </w:tcPr>
          <w:p w14:paraId="54D0150D">
            <w:pPr>
              <w:pStyle w:val="8"/>
              <w:widowControl/>
              <w:tabs>
                <w:tab w:val="center" w:pos="4201"/>
                <w:tab w:val="right" w:leader="dot" w:pos="9298"/>
              </w:tabs>
              <w:ind w:firstLine="420"/>
              <w:jc w:val="center"/>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载气流量</w:t>
            </w:r>
          </w:p>
        </w:tc>
        <w:tc>
          <w:tcPr>
            <w:tcW w:w="4261" w:type="dxa"/>
            <w:tcBorders>
              <w:top w:val="single" w:color="auto" w:sz="6" w:space="0"/>
              <w:left w:val="single" w:color="auto" w:sz="6" w:space="0"/>
              <w:bottom w:val="single" w:color="auto" w:sz="6" w:space="0"/>
              <w:right w:val="single" w:color="auto" w:sz="12" w:space="0"/>
            </w:tcBorders>
            <w:vAlign w:val="center"/>
          </w:tcPr>
          <w:p w14:paraId="4DC46ACA">
            <w:pPr>
              <w:pStyle w:val="8"/>
              <w:widowControl/>
              <w:tabs>
                <w:tab w:val="center" w:pos="4201"/>
                <w:tab w:val="right" w:leader="dot" w:pos="9298"/>
              </w:tabs>
              <w:ind w:firstLine="420"/>
              <w:jc w:val="center"/>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0.70 L/min</w:t>
            </w:r>
          </w:p>
        </w:tc>
      </w:tr>
      <w:tr w14:paraId="2A87A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Borders>
              <w:top w:val="single" w:color="auto" w:sz="6" w:space="0"/>
              <w:left w:val="single" w:color="auto" w:sz="12" w:space="0"/>
              <w:bottom w:val="single" w:color="auto" w:sz="6" w:space="0"/>
              <w:right w:val="single" w:color="auto" w:sz="6" w:space="0"/>
            </w:tcBorders>
            <w:vAlign w:val="center"/>
          </w:tcPr>
          <w:p w14:paraId="083494FC">
            <w:pPr>
              <w:pStyle w:val="8"/>
              <w:widowControl/>
              <w:tabs>
                <w:tab w:val="center" w:pos="4201"/>
                <w:tab w:val="right" w:leader="dot" w:pos="9298"/>
              </w:tabs>
              <w:ind w:firstLine="420"/>
              <w:jc w:val="center"/>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辅助气流量</w:t>
            </w:r>
          </w:p>
        </w:tc>
        <w:tc>
          <w:tcPr>
            <w:tcW w:w="4261" w:type="dxa"/>
            <w:tcBorders>
              <w:top w:val="single" w:color="auto" w:sz="6" w:space="0"/>
              <w:left w:val="single" w:color="auto" w:sz="6" w:space="0"/>
              <w:bottom w:val="single" w:color="auto" w:sz="6" w:space="0"/>
              <w:right w:val="single" w:color="auto" w:sz="12" w:space="0"/>
            </w:tcBorders>
            <w:vAlign w:val="center"/>
          </w:tcPr>
          <w:p w14:paraId="644447E9">
            <w:pPr>
              <w:pStyle w:val="8"/>
              <w:widowControl/>
              <w:tabs>
                <w:tab w:val="center" w:pos="4201"/>
                <w:tab w:val="right" w:leader="dot" w:pos="9298"/>
              </w:tabs>
              <w:ind w:firstLine="420"/>
              <w:jc w:val="center"/>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0.2 L/min</w:t>
            </w:r>
          </w:p>
        </w:tc>
      </w:tr>
      <w:tr w14:paraId="5258D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Borders>
              <w:top w:val="single" w:color="auto" w:sz="6" w:space="0"/>
              <w:left w:val="single" w:color="auto" w:sz="12" w:space="0"/>
              <w:bottom w:val="single" w:color="auto" w:sz="6" w:space="0"/>
              <w:right w:val="single" w:color="auto" w:sz="6" w:space="0"/>
            </w:tcBorders>
            <w:vAlign w:val="center"/>
          </w:tcPr>
          <w:p w14:paraId="31359411">
            <w:pPr>
              <w:pStyle w:val="8"/>
              <w:widowControl/>
              <w:tabs>
                <w:tab w:val="center" w:pos="4201"/>
                <w:tab w:val="right" w:leader="dot" w:pos="9298"/>
              </w:tabs>
              <w:ind w:firstLine="420"/>
              <w:jc w:val="center"/>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等离子气流量</w:t>
            </w:r>
          </w:p>
        </w:tc>
        <w:tc>
          <w:tcPr>
            <w:tcW w:w="4261" w:type="dxa"/>
            <w:tcBorders>
              <w:top w:val="single" w:color="auto" w:sz="6" w:space="0"/>
              <w:left w:val="single" w:color="auto" w:sz="6" w:space="0"/>
              <w:bottom w:val="single" w:color="auto" w:sz="6" w:space="0"/>
              <w:right w:val="single" w:color="auto" w:sz="12" w:space="0"/>
            </w:tcBorders>
            <w:vAlign w:val="center"/>
          </w:tcPr>
          <w:p w14:paraId="6F7E10D6">
            <w:pPr>
              <w:pStyle w:val="8"/>
              <w:widowControl/>
              <w:tabs>
                <w:tab w:val="center" w:pos="4201"/>
                <w:tab w:val="right" w:leader="dot" w:pos="9298"/>
              </w:tabs>
              <w:ind w:firstLine="420"/>
              <w:jc w:val="center"/>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13 L/min</w:t>
            </w:r>
          </w:p>
        </w:tc>
      </w:tr>
      <w:tr w14:paraId="352E5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Borders>
              <w:top w:val="single" w:color="auto" w:sz="6" w:space="0"/>
              <w:left w:val="single" w:color="auto" w:sz="12" w:space="0"/>
              <w:bottom w:val="single" w:color="auto" w:sz="6" w:space="0"/>
              <w:right w:val="single" w:color="auto" w:sz="6" w:space="0"/>
            </w:tcBorders>
            <w:vAlign w:val="center"/>
          </w:tcPr>
          <w:p w14:paraId="357982E7">
            <w:pPr>
              <w:pStyle w:val="8"/>
              <w:widowControl/>
              <w:tabs>
                <w:tab w:val="center" w:pos="4201"/>
                <w:tab w:val="right" w:leader="dot" w:pos="9298"/>
              </w:tabs>
              <w:ind w:firstLine="420"/>
              <w:jc w:val="center"/>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蠕动泵流速</w:t>
            </w:r>
          </w:p>
        </w:tc>
        <w:tc>
          <w:tcPr>
            <w:tcW w:w="4261" w:type="dxa"/>
            <w:tcBorders>
              <w:top w:val="single" w:color="auto" w:sz="6" w:space="0"/>
              <w:left w:val="single" w:color="auto" w:sz="6" w:space="0"/>
              <w:bottom w:val="single" w:color="auto" w:sz="6" w:space="0"/>
              <w:right w:val="single" w:color="auto" w:sz="12" w:space="0"/>
            </w:tcBorders>
            <w:vAlign w:val="center"/>
          </w:tcPr>
          <w:p w14:paraId="119FA94B">
            <w:pPr>
              <w:pStyle w:val="8"/>
              <w:widowControl/>
              <w:tabs>
                <w:tab w:val="center" w:pos="4201"/>
                <w:tab w:val="right" w:leader="dot" w:pos="9298"/>
              </w:tabs>
              <w:ind w:firstLine="420"/>
              <w:jc w:val="center"/>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1.5L/min</w:t>
            </w:r>
          </w:p>
        </w:tc>
      </w:tr>
      <w:tr w14:paraId="207A6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Borders>
              <w:top w:val="single" w:color="auto" w:sz="6" w:space="0"/>
              <w:left w:val="single" w:color="auto" w:sz="12" w:space="0"/>
              <w:bottom w:val="single" w:color="auto" w:sz="6" w:space="0"/>
              <w:right w:val="single" w:color="auto" w:sz="6" w:space="0"/>
            </w:tcBorders>
            <w:vAlign w:val="center"/>
          </w:tcPr>
          <w:p w14:paraId="4F1C9A8C">
            <w:pPr>
              <w:pStyle w:val="8"/>
              <w:widowControl/>
              <w:tabs>
                <w:tab w:val="center" w:pos="4201"/>
                <w:tab w:val="right" w:leader="dot" w:pos="9298"/>
              </w:tabs>
              <w:ind w:firstLine="420"/>
              <w:jc w:val="center"/>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观测方向</w:t>
            </w:r>
          </w:p>
        </w:tc>
        <w:tc>
          <w:tcPr>
            <w:tcW w:w="4261" w:type="dxa"/>
            <w:tcBorders>
              <w:top w:val="single" w:color="auto" w:sz="6" w:space="0"/>
              <w:left w:val="single" w:color="auto" w:sz="6" w:space="0"/>
              <w:bottom w:val="single" w:color="auto" w:sz="6" w:space="0"/>
              <w:right w:val="single" w:color="auto" w:sz="12" w:space="0"/>
            </w:tcBorders>
            <w:vAlign w:val="center"/>
          </w:tcPr>
          <w:p w14:paraId="1761DD7B">
            <w:pPr>
              <w:pStyle w:val="8"/>
              <w:widowControl/>
              <w:tabs>
                <w:tab w:val="center" w:pos="4201"/>
                <w:tab w:val="right" w:leader="dot" w:pos="9298"/>
              </w:tabs>
              <w:ind w:firstLine="420"/>
              <w:jc w:val="center"/>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径向</w:t>
            </w:r>
          </w:p>
        </w:tc>
      </w:tr>
      <w:tr w14:paraId="64F94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Borders>
              <w:top w:val="single" w:color="auto" w:sz="6" w:space="0"/>
              <w:left w:val="single" w:color="auto" w:sz="12" w:space="0"/>
              <w:bottom w:val="single" w:color="auto" w:sz="12" w:space="0"/>
              <w:right w:val="single" w:color="auto" w:sz="6" w:space="0"/>
            </w:tcBorders>
            <w:vAlign w:val="center"/>
          </w:tcPr>
          <w:p w14:paraId="1376752E">
            <w:pPr>
              <w:pStyle w:val="8"/>
              <w:widowControl/>
              <w:tabs>
                <w:tab w:val="center" w:pos="4201"/>
                <w:tab w:val="right" w:leader="dot" w:pos="9298"/>
              </w:tabs>
              <w:ind w:firstLine="420"/>
              <w:jc w:val="center"/>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测定次数</w:t>
            </w:r>
          </w:p>
        </w:tc>
        <w:tc>
          <w:tcPr>
            <w:tcW w:w="4261" w:type="dxa"/>
            <w:tcBorders>
              <w:top w:val="single" w:color="auto" w:sz="6" w:space="0"/>
              <w:left w:val="single" w:color="auto" w:sz="6" w:space="0"/>
              <w:bottom w:val="single" w:color="auto" w:sz="12" w:space="0"/>
              <w:right w:val="single" w:color="auto" w:sz="12" w:space="0"/>
            </w:tcBorders>
            <w:vAlign w:val="center"/>
          </w:tcPr>
          <w:p w14:paraId="427A32BD">
            <w:pPr>
              <w:pStyle w:val="8"/>
              <w:widowControl/>
              <w:tabs>
                <w:tab w:val="center" w:pos="4201"/>
                <w:tab w:val="right" w:leader="dot" w:pos="9298"/>
              </w:tabs>
              <w:ind w:firstLine="420"/>
              <w:jc w:val="center"/>
              <w:rPr>
                <w:rFonts w:ascii="Times New Roman" w:hAnsi="Times New Roman"/>
                <w:color w:val="000000"/>
                <w:szCs w:val="21"/>
                <w:shd w:val="clear" w:color="auto" w:fill="FFFFFF"/>
              </w:rPr>
            </w:pPr>
            <w:r>
              <w:rPr>
                <w:rFonts w:hint="eastAsia" w:ascii="Times New Roman" w:hAnsi="Times New Roman"/>
                <w:color w:val="000000"/>
                <w:szCs w:val="21"/>
                <w:shd w:val="clear" w:color="auto" w:fill="FFFFFF"/>
              </w:rPr>
              <w:t>3</w:t>
            </w:r>
          </w:p>
        </w:tc>
      </w:tr>
    </w:tbl>
    <w:p w14:paraId="4AE5D047">
      <w:pPr>
        <w:pStyle w:val="8"/>
        <w:tabs>
          <w:tab w:val="center" w:pos="4201"/>
          <w:tab w:val="right" w:leader="dot" w:pos="9298"/>
        </w:tabs>
        <w:ind w:firstLine="360"/>
        <w:rPr>
          <w:rFonts w:ascii="Times New Roman" w:hAnsi="Times New Roman"/>
          <w:color w:val="000000"/>
          <w:sz w:val="18"/>
          <w:szCs w:val="18"/>
          <w:shd w:val="clear" w:color="auto" w:fill="FFFFFF"/>
        </w:rPr>
      </w:pPr>
      <w:r>
        <w:rPr>
          <w:rFonts w:hint="eastAsia" w:ascii="Times New Roman" w:hAnsi="Times New Roman"/>
          <w:color w:val="000000"/>
          <w:sz w:val="18"/>
          <w:szCs w:val="18"/>
          <w:shd w:val="clear" w:color="auto" w:fill="FFFFFF"/>
        </w:rPr>
        <w:t>注：可根据不同厂家、不同型号的仪器确定合适的工作条件。</w:t>
      </w:r>
    </w:p>
    <w:p w14:paraId="6D740EAE">
      <w:pPr>
        <w:pStyle w:val="8"/>
        <w:tabs>
          <w:tab w:val="center" w:pos="4201"/>
          <w:tab w:val="right" w:leader="dot" w:pos="9298"/>
        </w:tabs>
        <w:ind w:firstLine="0" w:firstLineChars="0"/>
        <w:rPr>
          <w:rFonts w:ascii="Times New Roman" w:hAnsi="Times New Roman"/>
          <w:color w:val="000000"/>
          <w:szCs w:val="21"/>
          <w:shd w:val="clear" w:color="auto" w:fill="FFFFFF"/>
        </w:rPr>
      </w:pPr>
    </w:p>
    <w:p w14:paraId="18640FB7">
      <w:pPr>
        <w:jc w:val="center"/>
        <w:rPr>
          <w:sz w:val="32"/>
          <w:szCs w:val="32"/>
        </w:rPr>
      </w:pPr>
    </w:p>
    <w:p w14:paraId="51BBA58A">
      <w:pPr>
        <w:jc w:val="center"/>
        <w:rPr>
          <w:sz w:val="32"/>
          <w:szCs w:val="32"/>
        </w:rPr>
      </w:pPr>
    </w:p>
    <w:p w14:paraId="26CA729B">
      <w:pPr>
        <w:spacing w:line="600" w:lineRule="exact"/>
        <w:ind w:firstLine="420" w:firstLineChars="200"/>
      </w:pPr>
    </w:p>
    <w:p w14:paraId="3F9B651F"/>
    <w:sectPr>
      <w:footerReference r:id="rId4"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7FFCA1">
    <w:pPr>
      <w:pStyle w:val="3"/>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08EFBB">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2008EFBB">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63FC3F">
    <w:pPr>
      <w:pStyle w:val="11"/>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CE1A09">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59CE1A09">
                    <w:pPr>
                      <w:pStyle w:val="4"/>
                    </w:pPr>
                    <w:r>
                      <w:fldChar w:fldCharType="begin"/>
                    </w:r>
                    <w:r>
                      <w:instrText xml:space="preserve"> PAGE  \* MERGEFORMAT </w:instrText>
                    </w:r>
                    <w:r>
                      <w:fldChar w:fldCharType="separate"/>
                    </w:r>
                    <w:r>
                      <w:t>1</w:t>
                    </w:r>
                    <w:r>
                      <w:fldChar w:fldCharType="end"/>
                    </w:r>
                  </w:p>
                </w:txbxContent>
              </v:textbox>
            </v:shape>
          </w:pict>
        </mc:Fallback>
      </mc:AlternateContent>
    </w:r>
    <w:r>
      <w:t>T/</w:t>
    </w:r>
    <w:r>
      <w:rPr>
        <w:rFonts w:hint="eastAsia"/>
      </w:rPr>
      <w:t>CIQA</w:t>
    </w:r>
    <w:r>
      <w:t xml:space="preserve"> ××××—20</w:t>
    </w:r>
    <w:r>
      <w:rPr>
        <w:rFonts w:hint="eastAsia"/>
      </w:rPr>
      <w:t>XX</w:t>
    </w:r>
  </w:p>
  <w:p w14:paraId="0CD0F513">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CEA2025"/>
    <w:multiLevelType w:val="multilevel"/>
    <w:tmpl w:val="6CEA2025"/>
    <w:lvl w:ilvl="0" w:tentative="0">
      <w:start w:val="1"/>
      <w:numFmt w:val="none"/>
      <w:suff w:val="nothing"/>
      <w:lvlText w:val="%1"/>
      <w:lvlJc w:val="left"/>
      <w:rPr>
        <w:rFonts w:hint="default" w:ascii="Times New Roman" w:hAnsi="Times New Roman" w:cs="Times New Roman"/>
        <w:b/>
        <w:i w:val="0"/>
        <w:sz w:val="21"/>
      </w:rPr>
    </w:lvl>
    <w:lvl w:ilvl="1" w:tentative="0">
      <w:start w:val="1"/>
      <w:numFmt w:val="decimal"/>
      <w:pStyle w:val="9"/>
      <w:suff w:val="nothing"/>
      <w:lvlText w:val="%1%2　"/>
      <w:lvlJc w:val="left"/>
      <w:rPr>
        <w:rFonts w:hint="eastAsia" w:ascii="黑体" w:hAnsi="Times New Roman" w:eastAsia="黑体" w:cs="Times New Roman"/>
        <w:b w:val="0"/>
        <w:i w:val="0"/>
        <w:color w:val="auto"/>
        <w:sz w:val="21"/>
      </w:rPr>
    </w:lvl>
    <w:lvl w:ilvl="2" w:tentative="0">
      <w:start w:val="1"/>
      <w:numFmt w:val="decimal"/>
      <w:suff w:val="nothing"/>
      <w:lvlText w:val="%1%2.%3　"/>
      <w:lvlJc w:val="left"/>
      <w:pPr>
        <w:ind w:left="0"/>
      </w:pPr>
      <w:rPr>
        <w:rFonts w:hint="eastAsia" w:ascii="黑体" w:hAnsi="Times New Roman" w:eastAsia="黑体" w:cs="Times New Roman"/>
        <w:b w:val="0"/>
        <w:i w:val="0"/>
        <w:sz w:val="21"/>
      </w:rPr>
    </w:lvl>
    <w:lvl w:ilvl="3" w:tentative="0">
      <w:start w:val="1"/>
      <w:numFmt w:val="decimal"/>
      <w:suff w:val="nothing"/>
      <w:lvlText w:val="%1%2.%3.%4　"/>
      <w:lvlJc w:val="left"/>
      <w:pPr>
        <w:ind w:left="0"/>
      </w:pPr>
      <w:rPr>
        <w:rFonts w:hint="eastAsia" w:ascii="黑体" w:hAnsi="Times New Roman" w:eastAsia="黑体" w:cs="Times New Roman"/>
        <w:b w:val="0"/>
        <w:i w:val="0"/>
        <w:sz w:val="21"/>
      </w:rPr>
    </w:lvl>
    <w:lvl w:ilvl="4" w:tentative="0">
      <w:start w:val="1"/>
      <w:numFmt w:val="decimal"/>
      <w:suff w:val="nothing"/>
      <w:lvlText w:val="%1%2.%3.%4.%5　"/>
      <w:lvlJc w:val="left"/>
      <w:rPr>
        <w:rFonts w:hint="eastAsia" w:ascii="黑体" w:hAnsi="Times New Roman" w:eastAsia="黑体" w:cs="Times New Roman"/>
        <w:b w:val="0"/>
        <w:i w:val="0"/>
        <w:sz w:val="21"/>
      </w:rPr>
    </w:lvl>
    <w:lvl w:ilvl="5" w:tentative="0">
      <w:start w:val="1"/>
      <w:numFmt w:val="decimal"/>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FjZjRkNDllOGNhNzZjYTVmNmMxNTA1MGY0MTIwZTkifQ=="/>
  </w:docVars>
  <w:rsids>
    <w:rsidRoot w:val="5A143746"/>
    <w:rsid w:val="0001755F"/>
    <w:rsid w:val="000B2408"/>
    <w:rsid w:val="000D7BBA"/>
    <w:rsid w:val="002D4E43"/>
    <w:rsid w:val="00336C68"/>
    <w:rsid w:val="00503204"/>
    <w:rsid w:val="00545882"/>
    <w:rsid w:val="00670447"/>
    <w:rsid w:val="00680D6E"/>
    <w:rsid w:val="00714E72"/>
    <w:rsid w:val="00787450"/>
    <w:rsid w:val="00802DC0"/>
    <w:rsid w:val="008B5C70"/>
    <w:rsid w:val="009020CD"/>
    <w:rsid w:val="00962A28"/>
    <w:rsid w:val="00AC3785"/>
    <w:rsid w:val="00B22048"/>
    <w:rsid w:val="00C51195"/>
    <w:rsid w:val="00C6159D"/>
    <w:rsid w:val="00CB2C83"/>
    <w:rsid w:val="00CC6F3E"/>
    <w:rsid w:val="00DF6B58"/>
    <w:rsid w:val="00E110C2"/>
    <w:rsid w:val="00EC2FB3"/>
    <w:rsid w:val="00F60AB2"/>
    <w:rsid w:val="00F62020"/>
    <w:rsid w:val="00FC410F"/>
    <w:rsid w:val="063A056B"/>
    <w:rsid w:val="16881768"/>
    <w:rsid w:val="17027FA9"/>
    <w:rsid w:val="2E7D254A"/>
    <w:rsid w:val="3C5F34F4"/>
    <w:rsid w:val="3FED393A"/>
    <w:rsid w:val="419E29B4"/>
    <w:rsid w:val="43F108B7"/>
    <w:rsid w:val="4E1245C3"/>
    <w:rsid w:val="4F36695D"/>
    <w:rsid w:val="5A143746"/>
    <w:rsid w:val="5AF63778"/>
    <w:rsid w:val="5C11169E"/>
    <w:rsid w:val="5CD014EC"/>
    <w:rsid w:val="640A35A3"/>
    <w:rsid w:val="679079F7"/>
    <w:rsid w:val="6C584EA0"/>
    <w:rsid w:val="6D54588F"/>
    <w:rsid w:val="77690189"/>
    <w:rsid w:val="7C9078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rFonts w:asciiTheme="minorHAnsi" w:hAnsiTheme="minorHAnsi" w:eastAsiaTheme="minorEastAsia" w:cstheme="minorBidi"/>
      <w:b/>
      <w:kern w:val="44"/>
      <w:sz w:val="44"/>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段"/>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9">
    <w:name w:val="章标题"/>
    <w:next w:val="8"/>
    <w:qFormat/>
    <w:uiPriority w:val="99"/>
    <w:pPr>
      <w:numPr>
        <w:ilvl w:val="1"/>
        <w:numId w:val="1"/>
      </w:numPr>
      <w:spacing w:beforeLines="50" w:afterLines="50"/>
      <w:jc w:val="both"/>
      <w:outlineLvl w:val="1"/>
    </w:pPr>
    <w:rPr>
      <w:rFonts w:ascii="黑体" w:hAnsi="Calibri" w:eastAsia="黑体" w:cs="Times New Roman"/>
      <w:sz w:val="21"/>
      <w:szCs w:val="22"/>
      <w:lang w:val="en-US" w:eastAsia="zh-CN" w:bidi="ar-SA"/>
    </w:rPr>
  </w:style>
  <w:style w:type="paragraph" w:customStyle="1" w:styleId="10">
    <w:name w:val="封面标准英文名称"/>
    <w:qFormat/>
    <w:uiPriority w:val="99"/>
    <w:pPr>
      <w:widowControl w:val="0"/>
      <w:spacing w:before="370" w:line="400" w:lineRule="exact"/>
      <w:jc w:val="center"/>
    </w:pPr>
    <w:rPr>
      <w:rFonts w:ascii="Calibri" w:hAnsi="Calibri" w:eastAsiaTheme="minorEastAsia" w:cstheme="minorBidi"/>
      <w:sz w:val="28"/>
      <w:szCs w:val="22"/>
      <w:lang w:val="en-US" w:eastAsia="zh-CN" w:bidi="ar-SA"/>
    </w:rPr>
  </w:style>
  <w:style w:type="paragraph" w:customStyle="1" w:styleId="11">
    <w:name w:val="标准书眉_偶数页"/>
    <w:basedOn w:val="12"/>
    <w:next w:val="1"/>
    <w:qFormat/>
    <w:uiPriority w:val="99"/>
    <w:pPr>
      <w:tabs>
        <w:tab w:val="center" w:pos="4154"/>
        <w:tab w:val="right" w:pos="8306"/>
      </w:tabs>
      <w:jc w:val="left"/>
    </w:pPr>
  </w:style>
  <w:style w:type="paragraph" w:customStyle="1" w:styleId="12">
    <w:name w:val="标准书眉_奇数页"/>
    <w:next w:val="1"/>
    <w:qFormat/>
    <w:uiPriority w:val="99"/>
    <w:pPr>
      <w:tabs>
        <w:tab w:val="center" w:pos="4154"/>
        <w:tab w:val="right" w:pos="8306"/>
      </w:tabs>
      <w:spacing w:after="120"/>
      <w:jc w:val="right"/>
    </w:pPr>
    <w:rPr>
      <w:rFonts w:ascii="Calibri" w:hAnsi="Calibri"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w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2267</Words>
  <Characters>2956</Characters>
  <Lines>123</Lines>
  <Paragraphs>125</Paragraphs>
  <TotalTime>1</TotalTime>
  <ScaleCrop>false</ScaleCrop>
  <LinksUpToDate>false</LinksUpToDate>
  <CharactersWithSpaces>3058</CharactersWithSpaces>
  <Application>WPS Office_12.1.0.22089_F1E327BC-269C-435d-A152-05C5408002CA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2024-07-19T03:08:00Z</dcterms:created>
  <dc:creator>y</dc:creator>
  <cp:lastModifiedBy>WPS_1742196473</cp:lastModifiedBy>
  <dcterms:modified xsi:type="dcterms:W3CDTF">2025-09-02T07:52:05Z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2052-12.1.0.22089</vt:lpwstr>
  </property>
  <property fmtid="{D5CDD505-2E9C-101B-9397-08002B2CF9AE}" pid="3" name="ICV">
    <vt:lpwstr>2E38B9F5D1C64DABBFBACC7D547D00A1_13</vt:lpwstr>
  </property>
  <property fmtid="{D5CDD505-2E9C-101B-9397-08002B2CF9AE}" pid="4" name="KSOTemplateDocerSaveRecord">
    <vt:lpwstr>eyJoZGlkIjoiMmFjZjRkNDllOGNhNzZjYTVmNmMxNTA1MGY0MTIwZTkiLCJ1c2VySWQiOiIxMDI0NTcwNTA2In0=</vt:lpwstr>
  </property>
</Properties>
</file>