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F2227">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7335D38C">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36C0D17E">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r>
        <w:rPr>
          <w:rFonts w:hint="eastAsia" w:ascii="宋体" w:hAnsi="宋体" w:eastAsia="宋体" w:cs="宋体"/>
          <w:b/>
          <w:bCs/>
          <w:color w:val="000000"/>
          <w:kern w:val="0"/>
          <w:sz w:val="43"/>
          <w:szCs w:val="43"/>
          <w:lang w:val="en-US" w:eastAsia="zh-CN" w:bidi="ar"/>
        </w:rPr>
        <w:t>中国出入境检验检疫协会团体标准</w:t>
      </w:r>
    </w:p>
    <w:p w14:paraId="4C6981FB">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346C4DC2">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r>
        <w:rPr>
          <w:rFonts w:hint="eastAsia" w:ascii="宋体" w:hAnsi="宋体" w:eastAsia="宋体" w:cs="宋体"/>
          <w:b/>
          <w:bCs/>
          <w:color w:val="000000"/>
          <w:kern w:val="0"/>
          <w:sz w:val="43"/>
          <w:szCs w:val="43"/>
          <w:lang w:val="en-US" w:eastAsia="zh-CN" w:bidi="ar"/>
        </w:rPr>
        <w:t>《生牛肉饼》</w:t>
      </w:r>
    </w:p>
    <w:p w14:paraId="0B45D330">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3A21F51B">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15F000D1">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1717444F">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r>
        <w:rPr>
          <w:rFonts w:hint="eastAsia" w:ascii="宋体" w:hAnsi="宋体" w:eastAsia="宋体" w:cs="宋体"/>
          <w:b/>
          <w:bCs/>
          <w:color w:val="000000"/>
          <w:kern w:val="0"/>
          <w:sz w:val="43"/>
          <w:szCs w:val="43"/>
          <w:lang w:val="en-US" w:eastAsia="zh-CN" w:bidi="ar"/>
        </w:rPr>
        <w:t>编制说明</w:t>
      </w:r>
    </w:p>
    <w:p w14:paraId="6CDE373C">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0FCD8D81">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r>
        <w:rPr>
          <w:rFonts w:hint="eastAsia" w:ascii="宋体" w:hAnsi="宋体" w:eastAsia="宋体" w:cs="宋体"/>
          <w:b/>
          <w:bCs/>
          <w:color w:val="000000"/>
          <w:kern w:val="0"/>
          <w:sz w:val="43"/>
          <w:szCs w:val="43"/>
          <w:lang w:val="en-US" w:eastAsia="zh-CN" w:bidi="ar"/>
        </w:rPr>
        <w:t>（征求意见稿）</w:t>
      </w:r>
    </w:p>
    <w:p w14:paraId="1F431694">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032BC4DA">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7AFB42DC">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7E09AAB4">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6F88D370">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036F1FBB">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43FAAB35">
      <w:pPr>
        <w:keepNext w:val="0"/>
        <w:keepLines w:val="0"/>
        <w:widowControl/>
        <w:suppressLineNumbers w:val="0"/>
        <w:jc w:val="center"/>
        <w:rPr>
          <w:rFonts w:hint="eastAsia" w:ascii="宋体" w:hAnsi="宋体" w:eastAsia="宋体" w:cs="宋体"/>
          <w:b/>
          <w:bCs/>
          <w:color w:val="000000"/>
          <w:kern w:val="0"/>
          <w:sz w:val="43"/>
          <w:szCs w:val="43"/>
          <w:lang w:val="en-US" w:eastAsia="zh-CN" w:bidi="ar"/>
        </w:rPr>
      </w:pPr>
    </w:p>
    <w:p w14:paraId="6F51A674">
      <w:pPr>
        <w:keepNext w:val="0"/>
        <w:keepLines w:val="0"/>
        <w:widowControl/>
        <w:suppressLineNumbers w:val="0"/>
        <w:jc w:val="center"/>
      </w:pPr>
      <w:r>
        <w:rPr>
          <w:rFonts w:ascii="黑体" w:hAnsi="宋体" w:eastAsia="黑体" w:cs="黑体"/>
          <w:color w:val="000000"/>
          <w:kern w:val="0"/>
          <w:sz w:val="31"/>
          <w:szCs w:val="31"/>
          <w:lang w:val="en-US" w:eastAsia="zh-CN" w:bidi="ar"/>
        </w:rPr>
        <w:t>标准起草组</w:t>
      </w:r>
    </w:p>
    <w:p w14:paraId="5139A56E">
      <w:pPr>
        <w:keepNext w:val="0"/>
        <w:keepLines w:val="0"/>
        <w:widowControl/>
        <w:suppressLineNumbers w:val="0"/>
        <w:jc w:val="center"/>
      </w:pPr>
      <w:r>
        <w:rPr>
          <w:rFonts w:hint="eastAsia" w:ascii="黑体" w:hAnsi="宋体" w:eastAsia="黑体" w:cs="黑体"/>
          <w:color w:val="000000"/>
          <w:kern w:val="0"/>
          <w:sz w:val="31"/>
          <w:szCs w:val="31"/>
          <w:lang w:val="en-US" w:eastAsia="zh-CN" w:bidi="ar"/>
        </w:rPr>
        <w:t>二Ο二四年七月</w:t>
      </w:r>
    </w:p>
    <w:p w14:paraId="24621FF4">
      <w:pPr>
        <w:keepNext w:val="0"/>
        <w:keepLines w:val="0"/>
        <w:widowControl/>
        <w:suppressLineNumbers w:val="0"/>
        <w:jc w:val="left"/>
        <w:rPr>
          <w:rFonts w:hint="eastAsia" w:ascii="宋体" w:hAnsi="宋体" w:eastAsia="宋体" w:cs="宋体"/>
          <w:b/>
          <w:bCs/>
          <w:color w:val="000000"/>
          <w:kern w:val="0"/>
          <w:sz w:val="43"/>
          <w:szCs w:val="43"/>
          <w:lang w:val="en-US" w:eastAsia="zh-CN" w:bidi="ar"/>
        </w:rPr>
      </w:pPr>
    </w:p>
    <w:p w14:paraId="00360D59">
      <w:pPr>
        <w:rPr>
          <w:rFonts w:hint="eastAsia"/>
          <w:lang w:eastAsia="zh-CN"/>
        </w:rPr>
      </w:pPr>
    </w:p>
    <w:p w14:paraId="44D1832B">
      <w:pPr>
        <w:rPr>
          <w:rFonts w:hint="eastAsia"/>
          <w:lang w:eastAsia="zh-CN"/>
        </w:rPr>
      </w:pPr>
    </w:p>
    <w:p w14:paraId="6D12B00E">
      <w:pPr>
        <w:keepNext w:val="0"/>
        <w:keepLines w:val="0"/>
        <w:widowControl/>
        <w:suppressLineNumbers w:val="0"/>
        <w:jc w:val="center"/>
        <w:rPr>
          <w:rFonts w:hint="eastAsia" w:ascii="宋体" w:hAnsi="宋体" w:eastAsia="宋体" w:cs="宋体"/>
          <w:b/>
          <w:bCs/>
          <w:color w:val="000000"/>
          <w:kern w:val="0"/>
          <w:sz w:val="36"/>
          <w:szCs w:val="36"/>
          <w:lang w:val="en-US" w:eastAsia="zh-CN" w:bidi="ar"/>
        </w:rPr>
      </w:pPr>
      <w:r>
        <w:rPr>
          <w:rFonts w:hint="eastAsia" w:ascii="宋体" w:hAnsi="宋体" w:eastAsia="宋体" w:cs="宋体"/>
          <w:b/>
          <w:bCs/>
          <w:color w:val="000000"/>
          <w:kern w:val="0"/>
          <w:sz w:val="36"/>
          <w:szCs w:val="36"/>
          <w:lang w:val="en-US" w:eastAsia="zh-CN" w:bidi="ar"/>
        </w:rPr>
        <w:t>《生牛肉饼》</w:t>
      </w:r>
    </w:p>
    <w:p w14:paraId="5EF4B1DB">
      <w:pPr>
        <w:keepNext w:val="0"/>
        <w:keepLines w:val="0"/>
        <w:widowControl/>
        <w:suppressLineNumbers w:val="0"/>
        <w:jc w:val="center"/>
        <w:rPr>
          <w:rFonts w:hint="eastAsia" w:ascii="宋体" w:hAnsi="宋体" w:eastAsia="宋体" w:cs="宋体"/>
          <w:b/>
          <w:bCs/>
          <w:color w:val="000000"/>
          <w:kern w:val="0"/>
          <w:sz w:val="36"/>
          <w:szCs w:val="36"/>
          <w:lang w:val="en-US" w:eastAsia="zh-CN" w:bidi="ar"/>
        </w:rPr>
      </w:pPr>
      <w:r>
        <w:rPr>
          <w:rFonts w:hint="eastAsia" w:ascii="宋体" w:hAnsi="宋体" w:eastAsia="宋体" w:cs="宋体"/>
          <w:b/>
          <w:bCs/>
          <w:color w:val="000000"/>
          <w:kern w:val="0"/>
          <w:sz w:val="36"/>
          <w:szCs w:val="36"/>
          <w:lang w:val="en-US" w:eastAsia="zh-CN" w:bidi="ar"/>
        </w:rPr>
        <w:t>团体标准编制说明</w:t>
      </w:r>
    </w:p>
    <w:p w14:paraId="69FE1FAD">
      <w:pPr>
        <w:keepNext w:val="0"/>
        <w:keepLines w:val="0"/>
        <w:widowControl/>
        <w:suppressLineNumbers w:val="0"/>
        <w:jc w:val="center"/>
        <w:rPr>
          <w:rFonts w:hint="eastAsia" w:ascii="宋体" w:hAnsi="宋体" w:eastAsia="宋体" w:cs="宋体"/>
          <w:b/>
          <w:bCs/>
          <w:color w:val="000000"/>
          <w:kern w:val="0"/>
          <w:sz w:val="36"/>
          <w:szCs w:val="36"/>
          <w:lang w:val="en-US" w:eastAsia="zh-CN" w:bidi="ar"/>
        </w:rPr>
      </w:pPr>
    </w:p>
    <w:p w14:paraId="5726A7BA">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背景简况及任务来源：</w:t>
      </w:r>
    </w:p>
    <w:p w14:paraId="6725A958">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b/>
          <w:bCs/>
          <w:sz w:val="24"/>
          <w:szCs w:val="24"/>
          <w:lang w:val="en-US" w:eastAsia="zh-CN"/>
        </w:rPr>
      </w:pPr>
      <w:r>
        <w:rPr>
          <w:rFonts w:hint="eastAsia"/>
          <w:b/>
          <w:bCs/>
          <w:sz w:val="24"/>
          <w:szCs w:val="24"/>
          <w:lang w:val="en-US" w:eastAsia="zh-CN"/>
        </w:rPr>
        <w:t>任务来源：</w:t>
      </w:r>
    </w:p>
    <w:p w14:paraId="7FCD99F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eastAsia="zh-CN"/>
        </w:rPr>
      </w:pPr>
      <w:r>
        <w:rPr>
          <w:rFonts w:hint="eastAsia"/>
          <w:sz w:val="24"/>
          <w:szCs w:val="24"/>
          <w:lang w:eastAsia="zh-CN"/>
        </w:rPr>
        <w:t>根据中国出入境检验检疫协会公布的《关于批准&lt;煤炭品质快速测定 近红外光谱法&gt;等六项团体标准立项的通知》（中检协标[2024]7号）下达的任务，项目名称为《生牛肉饼》，</w:t>
      </w:r>
      <w:r>
        <w:rPr>
          <w:rFonts w:hint="eastAsia"/>
          <w:sz w:val="24"/>
          <w:szCs w:val="24"/>
          <w:lang w:val="en-US" w:eastAsia="zh-CN"/>
        </w:rPr>
        <w:t>项目号</w:t>
      </w:r>
      <w:r>
        <w:rPr>
          <w:rFonts w:hint="eastAsia"/>
          <w:sz w:val="24"/>
          <w:szCs w:val="24"/>
          <w:lang w:eastAsia="zh-CN"/>
        </w:rPr>
        <w:t>P/CIQA-179-2024进行制定，</w:t>
      </w:r>
      <w:r>
        <w:rPr>
          <w:rFonts w:hint="eastAsia"/>
          <w:sz w:val="24"/>
          <w:szCs w:val="24"/>
          <w:lang w:val="en-US" w:eastAsia="zh-CN"/>
        </w:rPr>
        <w:t>计划完成时间2024年，</w:t>
      </w:r>
      <w:r>
        <w:rPr>
          <w:rFonts w:hint="eastAsia"/>
          <w:sz w:val="24"/>
          <w:szCs w:val="24"/>
          <w:lang w:eastAsia="zh-CN"/>
        </w:rPr>
        <w:t>主要起草单位：广东温瓯食品科技有限公司</w:t>
      </w:r>
      <w:r>
        <w:rPr>
          <w:rFonts w:hint="eastAsia"/>
          <w:sz w:val="24"/>
          <w:szCs w:val="24"/>
          <w:lang w:val="en-US" w:eastAsia="zh-CN"/>
        </w:rPr>
        <w:t>......等</w:t>
      </w:r>
      <w:r>
        <w:rPr>
          <w:rFonts w:hint="eastAsia"/>
          <w:sz w:val="24"/>
          <w:szCs w:val="24"/>
          <w:lang w:eastAsia="zh-CN"/>
        </w:rPr>
        <w:t>。</w:t>
      </w:r>
    </w:p>
    <w:p w14:paraId="31F0837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b/>
          <w:bCs/>
          <w:sz w:val="24"/>
          <w:szCs w:val="24"/>
          <w:lang w:val="en-US" w:eastAsia="zh-CN"/>
        </w:rPr>
      </w:pPr>
      <w:r>
        <w:rPr>
          <w:rFonts w:hint="eastAsia"/>
          <w:b/>
          <w:bCs/>
          <w:sz w:val="24"/>
          <w:szCs w:val="24"/>
          <w:lang w:val="en-US" w:eastAsia="zh-CN"/>
        </w:rPr>
        <w:t>背景简况：</w:t>
      </w:r>
    </w:p>
    <w:p w14:paraId="76C5A3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牛肉是世界第三的肉类消耗品，约占肉制品市场的25%。自2018年以来，中国成为世界上最大的牛肉进口国，直至2023年我国牛肉进口数量仍保持快速增长。牛肉已成为了我国消费肉类中重要组成部分。在这种环境下，各种创新的牛肉制品也不断涌现，反映了我国消费者多样化的口味需求。</w:t>
      </w:r>
    </w:p>
    <w:p w14:paraId="47C7849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在西式餐饮中，牛排和牛肉饼是主要的牛肉制品。这两种食品在文化和历史上都占有重要的位置。近年来，我国生牛肉饼的制作技术及其消费量呈现稳定增长的态势，并且结合了中国饮食文化特点。此外，我国的预制食品、方便食品也在快节奏的生活状态和政策的不断推动下有了快速的发展，而生牛肉饼产品完全符合“预制、方便”的快速、便捷、卫生、风味稳定等特点。</w:t>
      </w:r>
    </w:p>
    <w:p w14:paraId="61C079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生牛肉饼在我国作为新兴的牛肉类食品种类，销售单价从十多元到五十元，大多数企业均看到其广阔的市场和价值，为了占有市场先机，产品鱼目混杂、以次充好的情况时有发生，生牛肉饼价格差异极大，产品质量层次不齐，添加剂占比高、牛肉含量低、新鲜度差、甚至以牛肉香精香料替代原料肉的情况屡见不鲜，长期以往将从根本上破坏生牛肉饼行业的健康有序发展，危害食品安全。</w:t>
      </w:r>
    </w:p>
    <w:p w14:paraId="6F84C5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目前我国尚未建立生牛肉饼标准体系，为确保质量和食品安全，规范牛肉饼的生产和销售，亟需建议生牛肉饼的标准体系，制定统一的标准和推广策略，为生产和监管提供依据。建立生牛肉饼标准的意义还在于管理手段的提升，从事后管理、过程控制到事前预防的提升，改变食品安全管理状态。</w:t>
      </w:r>
    </w:p>
    <w:p w14:paraId="365CE3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r>
        <w:rPr>
          <w:rFonts w:hint="eastAsia"/>
          <w:sz w:val="24"/>
          <w:szCs w:val="24"/>
          <w:lang w:val="en-US" w:eastAsia="zh-CN"/>
        </w:rPr>
        <w:t>目前，我国尚没有关于生牛肉饼的国家标准、行业标准、地方标准或团体标准，非常有必要制定《生牛肉饼》团体标准，填补国内生牛肉饼标准的空白。</w:t>
      </w:r>
    </w:p>
    <w:p w14:paraId="16471429">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default"/>
          <w:b/>
          <w:bCs/>
          <w:sz w:val="24"/>
          <w:szCs w:val="24"/>
          <w:lang w:val="en-US" w:eastAsia="zh-CN"/>
        </w:rPr>
      </w:pPr>
      <w:r>
        <w:rPr>
          <w:rFonts w:hint="eastAsia"/>
          <w:b/>
          <w:bCs/>
          <w:sz w:val="24"/>
          <w:szCs w:val="24"/>
          <w:lang w:val="en-US" w:eastAsia="zh-CN"/>
        </w:rPr>
        <w:t>主要工作过程：</w:t>
      </w:r>
    </w:p>
    <w:p w14:paraId="55837B6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sz w:val="24"/>
          <w:szCs w:val="24"/>
          <w:lang w:val="en-US" w:eastAsia="zh-CN"/>
        </w:rPr>
      </w:pPr>
      <w:r>
        <w:rPr>
          <w:rFonts w:hint="eastAsia"/>
          <w:b/>
          <w:bCs/>
          <w:sz w:val="24"/>
          <w:szCs w:val="24"/>
          <w:lang w:val="en-US" w:eastAsia="zh-CN"/>
        </w:rPr>
        <w:t>提案及立项阶段：</w:t>
      </w:r>
      <w:r>
        <w:rPr>
          <w:rFonts w:hint="eastAsia"/>
          <w:sz w:val="24"/>
          <w:szCs w:val="24"/>
          <w:lang w:val="en-US" w:eastAsia="zh-CN"/>
        </w:rPr>
        <w:t>2023年8月，《生牛肉饼》项目组启动调研工作，对国内外生牛肉饼产品的标准现状与行业情况进行了调研，反复研讨，形成《生牛肉饼》标准草案及项目建议。2024年1月，中国出入境检验检疫协会组织专家召开了团体标准立项评估会，听取了《生牛肉饼》项目组的汇报并达成了一致意见，于2024年4月正式下达制定计划。</w:t>
      </w:r>
    </w:p>
    <w:p w14:paraId="660F49B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sz w:val="24"/>
          <w:szCs w:val="24"/>
          <w:lang w:val="en-US" w:eastAsia="zh-CN"/>
        </w:rPr>
      </w:pPr>
      <w:r>
        <w:rPr>
          <w:rFonts w:hint="eastAsia"/>
          <w:b/>
          <w:bCs/>
          <w:sz w:val="24"/>
          <w:szCs w:val="24"/>
          <w:lang w:val="en-US" w:eastAsia="zh-CN"/>
        </w:rPr>
        <w:t>起草阶段：</w:t>
      </w:r>
      <w:r>
        <w:rPr>
          <w:rFonts w:hint="eastAsia"/>
          <w:sz w:val="24"/>
          <w:szCs w:val="24"/>
          <w:lang w:val="en-US" w:eastAsia="zh-CN"/>
        </w:rPr>
        <w:t>2024年5月21日在广东清远召开了《生牛肉饼》团体标准起草工作实体会议，会议明确由广东温瓯食品科技有限公司作为牵头单位组织该标准的制定工作，组建了包含</w:t>
      </w:r>
      <w:r>
        <w:rPr>
          <w:rFonts w:hint="eastAsia"/>
          <w:sz w:val="24"/>
          <w:szCs w:val="24"/>
          <w:highlight w:val="none"/>
          <w:lang w:val="en-US" w:eastAsia="zh-CN"/>
        </w:rPr>
        <w:t>....家</w:t>
      </w:r>
      <w:r>
        <w:rPr>
          <w:rFonts w:hint="eastAsia"/>
          <w:sz w:val="24"/>
          <w:szCs w:val="24"/>
          <w:lang w:val="en-US" w:eastAsia="zh-CN"/>
        </w:rPr>
        <w:t>单位的标准起草工作组。与会专家讨论了标准制定的背景与主要技术路线，确定了标准起草工作原则与要求，逐字逐句讨论了标准工作草案，明确了标准框架结构及主要技术内容，对标准的适用范围、分类、主要技术指标进行了充分的研究，初步形成了《生牛肉饼》标准草案。会议最后讨论并确定了标准起草任务分工及后续工作计划安排。</w:t>
      </w:r>
    </w:p>
    <w:p w14:paraId="40D9B8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2024年6月-7月，标准起草组再次对国内外标准及有关技术资料进行检索整理、查重，同时继续征求标准意见、并收集了有关生产企业和检测机构的产品检测数据。起草组于2024年7月5日线上召开了第二次起草组工作会议，结合数据收集及调研情况，对标准的投料要求及理化指标再次进行了研究和讨论。会后根据意见修改标准文本，整理形成《生牛肉饼》团体标准征求意见稿及编制说明，随后提交秘书处。</w:t>
      </w:r>
    </w:p>
    <w:p w14:paraId="6657BF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sz w:val="24"/>
          <w:szCs w:val="24"/>
          <w:lang w:val="en-US" w:eastAsia="zh-CN"/>
        </w:rPr>
      </w:pPr>
      <w:r>
        <w:rPr>
          <w:rFonts w:hint="eastAsia"/>
          <w:b/>
          <w:bCs/>
          <w:sz w:val="24"/>
          <w:szCs w:val="24"/>
          <w:lang w:val="en-US" w:eastAsia="zh-CN"/>
        </w:rPr>
        <w:t>征求意见阶段：</w:t>
      </w:r>
      <w:r>
        <w:rPr>
          <w:rFonts w:hint="eastAsia"/>
          <w:sz w:val="24"/>
          <w:szCs w:val="24"/>
          <w:lang w:val="en-US" w:eastAsia="zh-CN"/>
        </w:rPr>
        <w:t xml:space="preserve"> </w:t>
      </w:r>
    </w:p>
    <w:p w14:paraId="1D2499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b/>
          <w:bCs/>
          <w:sz w:val="24"/>
          <w:szCs w:val="24"/>
          <w:lang w:val="en-US" w:eastAsia="zh-CN"/>
        </w:rPr>
      </w:pPr>
      <w:r>
        <w:rPr>
          <w:rFonts w:hint="eastAsia"/>
          <w:b/>
          <w:bCs/>
          <w:sz w:val="24"/>
          <w:szCs w:val="24"/>
          <w:lang w:val="en-US" w:eastAsia="zh-CN"/>
        </w:rPr>
        <w:t>审查阶段：</w:t>
      </w:r>
    </w:p>
    <w:p w14:paraId="630492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sz w:val="24"/>
          <w:szCs w:val="24"/>
          <w:lang w:val="en-US" w:eastAsia="zh-CN"/>
        </w:rPr>
      </w:pPr>
      <w:r>
        <w:rPr>
          <w:rFonts w:hint="eastAsia"/>
          <w:b/>
          <w:bCs/>
          <w:sz w:val="24"/>
          <w:szCs w:val="24"/>
          <w:lang w:val="en-US" w:eastAsia="zh-CN"/>
        </w:rPr>
        <w:t>报批阶段：</w:t>
      </w:r>
    </w:p>
    <w:p w14:paraId="1E358F0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p>
    <w:p w14:paraId="46313BE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0" w:firstLineChars="0"/>
        <w:textAlignment w:val="auto"/>
        <w:rPr>
          <w:rFonts w:hint="eastAsia"/>
          <w:b/>
          <w:bCs/>
          <w:sz w:val="24"/>
          <w:szCs w:val="24"/>
          <w:lang w:eastAsia="zh-CN"/>
        </w:rPr>
      </w:pPr>
      <w:r>
        <w:rPr>
          <w:rFonts w:hint="eastAsia"/>
          <w:b/>
          <w:bCs/>
          <w:sz w:val="24"/>
          <w:szCs w:val="24"/>
          <w:lang w:eastAsia="zh-CN"/>
        </w:rPr>
        <w:t>标准主要</w:t>
      </w:r>
      <w:r>
        <w:rPr>
          <w:rFonts w:hint="eastAsia"/>
          <w:b/>
          <w:bCs/>
          <w:sz w:val="24"/>
          <w:szCs w:val="24"/>
          <w:lang w:val="en-US" w:eastAsia="zh-CN"/>
        </w:rPr>
        <w:t>起草单位、起草人</w:t>
      </w:r>
      <w:r>
        <w:rPr>
          <w:rFonts w:hint="eastAsia"/>
          <w:b/>
          <w:bCs/>
          <w:sz w:val="24"/>
          <w:szCs w:val="24"/>
          <w:lang w:eastAsia="zh-CN"/>
        </w:rPr>
        <w:t>及其所做的工作：</w:t>
      </w:r>
    </w:p>
    <w:p w14:paraId="2C94E1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textAlignment w:val="auto"/>
        <w:rPr>
          <w:rFonts w:hint="eastAsia"/>
          <w:sz w:val="24"/>
          <w:szCs w:val="24"/>
          <w:lang w:val="en-US" w:eastAsia="zh-CN"/>
        </w:rPr>
      </w:pPr>
      <w:r>
        <w:rPr>
          <w:rFonts w:hint="eastAsia"/>
          <w:sz w:val="24"/>
          <w:szCs w:val="24"/>
          <w:lang w:val="en-US" w:eastAsia="zh-CN"/>
        </w:rPr>
        <w:t>本文件由.....共同起草。主要成员：</w:t>
      </w:r>
    </w:p>
    <w:p w14:paraId="3FACBC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560"/>
        <w:textAlignment w:val="auto"/>
        <w:rPr>
          <w:rFonts w:hint="eastAsia"/>
          <w:sz w:val="24"/>
          <w:szCs w:val="24"/>
          <w:lang w:val="en-US" w:eastAsia="zh-CN"/>
        </w:rPr>
      </w:pPr>
      <w:r>
        <w:rPr>
          <w:rFonts w:hint="eastAsia"/>
          <w:sz w:val="24"/>
          <w:szCs w:val="24"/>
          <w:lang w:val="en-US" w:eastAsia="zh-CN"/>
        </w:rPr>
        <w:t>所做的工作：。。。。负责并承担国内外相关标准和技术资料的收集、整理，起草标准草案和编制说明等，负责项目的组织、协调、审核工作。。。。负责样品收集、检测及数据处理，参与方案的研究与确定，对本文件各版本的全部内容提出编写意见以及修改意见。</w:t>
      </w:r>
    </w:p>
    <w:p w14:paraId="0CFF8B6F">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 xml:space="preserve">标准编制原则和标准核心技术内容 </w:t>
      </w:r>
    </w:p>
    <w:p w14:paraId="49440474">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b/>
          <w:bCs/>
          <w:sz w:val="24"/>
          <w:szCs w:val="24"/>
          <w:lang w:val="en-US" w:eastAsia="zh-CN"/>
        </w:rPr>
      </w:pPr>
      <w:r>
        <w:rPr>
          <w:rFonts w:hint="eastAsia"/>
          <w:b/>
          <w:bCs/>
          <w:sz w:val="24"/>
          <w:szCs w:val="24"/>
          <w:lang w:val="en-US" w:eastAsia="zh-CN"/>
        </w:rPr>
        <w:t>编制原则</w:t>
      </w:r>
    </w:p>
    <w:p w14:paraId="554004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val="en-US" w:eastAsia="zh-CN"/>
        </w:rPr>
        <w:t>本文件按照GB/T 1.1-2020《标准化工作导则第 1 部分：标准化文件的结构和起草规则》的要求进行编写。</w:t>
      </w:r>
      <w:r>
        <w:rPr>
          <w:rFonts w:hint="eastAsia"/>
          <w:sz w:val="24"/>
          <w:szCs w:val="24"/>
          <w:lang w:eastAsia="zh-CN"/>
        </w:rPr>
        <w:t>本标准在修订过程中，认真贯彻执行</w:t>
      </w:r>
      <w:r>
        <w:rPr>
          <w:rFonts w:hint="eastAsia"/>
          <w:sz w:val="24"/>
          <w:szCs w:val="24"/>
          <w:lang w:val="en-US" w:eastAsia="zh-CN"/>
        </w:rPr>
        <w:t>中国出入境检验检疫协会团体</w:t>
      </w:r>
      <w:r>
        <w:rPr>
          <w:rFonts w:hint="eastAsia"/>
          <w:sz w:val="24"/>
          <w:szCs w:val="24"/>
          <w:lang w:eastAsia="zh-CN"/>
        </w:rPr>
        <w:t>标准制修订管理办法，遵循“原创性、高质量、”</w:t>
      </w:r>
      <w:r>
        <w:rPr>
          <w:rFonts w:hint="eastAsia"/>
          <w:sz w:val="24"/>
          <w:szCs w:val="24"/>
          <w:lang w:val="en-US" w:eastAsia="zh-CN"/>
        </w:rPr>
        <w:t>的原则</w:t>
      </w:r>
      <w:r>
        <w:rPr>
          <w:rFonts w:hint="eastAsia"/>
          <w:sz w:val="24"/>
          <w:szCs w:val="24"/>
          <w:lang w:eastAsia="zh-CN"/>
        </w:rPr>
        <w:t>以及先进性、科学性、合理性和可操作性的原则。本标准的</w:t>
      </w:r>
      <w:r>
        <w:rPr>
          <w:rFonts w:hint="eastAsia"/>
          <w:sz w:val="24"/>
          <w:szCs w:val="24"/>
          <w:lang w:val="en-US" w:eastAsia="zh-CN"/>
        </w:rPr>
        <w:t>制定，符合“</w:t>
      </w:r>
      <w:r>
        <w:rPr>
          <w:rFonts w:hint="eastAsia"/>
          <w:sz w:val="24"/>
          <w:szCs w:val="24"/>
          <w:lang w:eastAsia="zh-CN"/>
        </w:rPr>
        <w:t>零距离感触国内外市场、迅速协调市场主体、有效满足市场和创新需求”的原则。</w:t>
      </w:r>
    </w:p>
    <w:p w14:paraId="52F827A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本</w:t>
      </w:r>
      <w:r>
        <w:rPr>
          <w:rFonts w:hint="eastAsia"/>
          <w:sz w:val="24"/>
          <w:szCs w:val="24"/>
          <w:lang w:val="en-US" w:eastAsia="zh-CN"/>
        </w:rPr>
        <w:t>文件</w:t>
      </w:r>
      <w:r>
        <w:rPr>
          <w:rFonts w:hint="eastAsia"/>
          <w:sz w:val="24"/>
          <w:szCs w:val="24"/>
          <w:lang w:eastAsia="zh-CN"/>
        </w:rPr>
        <w:t>的起草，</w:t>
      </w:r>
      <w:r>
        <w:rPr>
          <w:rFonts w:hint="eastAsia"/>
          <w:sz w:val="24"/>
          <w:szCs w:val="24"/>
          <w:lang w:val="en-US" w:eastAsia="zh-CN"/>
        </w:rPr>
        <w:t>同时</w:t>
      </w:r>
      <w:r>
        <w:rPr>
          <w:rFonts w:hint="eastAsia"/>
          <w:sz w:val="24"/>
          <w:szCs w:val="24"/>
          <w:lang w:eastAsia="zh-CN"/>
        </w:rPr>
        <w:t>本着以下依据和原则：</w:t>
      </w:r>
    </w:p>
    <w:p w14:paraId="267388DB">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eastAsia="zh-CN"/>
        </w:rPr>
        <w:t>积极采用国际标准和国外先进工业国家标准。</w:t>
      </w:r>
    </w:p>
    <w:p w14:paraId="26FEC2FB">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技术指标</w:t>
      </w:r>
      <w:r>
        <w:rPr>
          <w:rFonts w:hint="eastAsia"/>
          <w:sz w:val="24"/>
          <w:szCs w:val="24"/>
          <w:lang w:eastAsia="zh-CN"/>
        </w:rPr>
        <w:t>不得低于我国强制性国家标准的相关技术要求。</w:t>
      </w:r>
    </w:p>
    <w:p w14:paraId="3BA031F1">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积极</w:t>
      </w:r>
      <w:r>
        <w:rPr>
          <w:rFonts w:hint="eastAsia"/>
          <w:sz w:val="24"/>
          <w:szCs w:val="24"/>
          <w:lang w:eastAsia="zh-CN"/>
        </w:rPr>
        <w:t>制定高于推荐性标准的相关技术要求。</w:t>
      </w:r>
    </w:p>
    <w:p w14:paraId="4796937E">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eastAsia="zh-CN"/>
        </w:rPr>
        <w:t>标准中各项</w:t>
      </w:r>
      <w:r>
        <w:rPr>
          <w:rFonts w:hint="eastAsia"/>
          <w:sz w:val="24"/>
          <w:szCs w:val="24"/>
          <w:lang w:val="en-US" w:eastAsia="zh-CN"/>
        </w:rPr>
        <w:t>技术指标</w:t>
      </w:r>
      <w:r>
        <w:rPr>
          <w:rFonts w:hint="eastAsia"/>
          <w:sz w:val="24"/>
          <w:szCs w:val="24"/>
          <w:lang w:eastAsia="zh-CN"/>
        </w:rPr>
        <w:t>完备齐全、先进合理，</w:t>
      </w:r>
      <w:r>
        <w:rPr>
          <w:rFonts w:hint="eastAsia"/>
          <w:sz w:val="24"/>
          <w:szCs w:val="24"/>
          <w:lang w:val="en-US" w:eastAsia="zh-CN"/>
        </w:rPr>
        <w:t>积极指导产品配方设计</w:t>
      </w:r>
      <w:r>
        <w:rPr>
          <w:rFonts w:hint="eastAsia"/>
          <w:sz w:val="24"/>
          <w:szCs w:val="24"/>
          <w:lang w:eastAsia="zh-CN"/>
        </w:rPr>
        <w:t>和</w:t>
      </w:r>
      <w:r>
        <w:rPr>
          <w:rFonts w:hint="eastAsia"/>
          <w:sz w:val="24"/>
          <w:szCs w:val="24"/>
          <w:lang w:val="en-US" w:eastAsia="zh-CN"/>
        </w:rPr>
        <w:t>质量的提升</w:t>
      </w:r>
    </w:p>
    <w:p w14:paraId="2779143D">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b/>
          <w:bCs/>
          <w:sz w:val="24"/>
          <w:szCs w:val="24"/>
          <w:lang w:val="en-US" w:eastAsia="zh-CN"/>
        </w:rPr>
      </w:pPr>
      <w:r>
        <w:rPr>
          <w:rFonts w:hint="eastAsia"/>
          <w:b/>
          <w:bCs/>
          <w:sz w:val="24"/>
          <w:szCs w:val="24"/>
          <w:lang w:val="en-US" w:eastAsia="zh-CN"/>
        </w:rPr>
        <w:t xml:space="preserve"> 核心技术内容</w:t>
      </w:r>
    </w:p>
    <w:p w14:paraId="2F3EB72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textAlignment w:val="auto"/>
        <w:rPr>
          <w:rFonts w:hint="default"/>
          <w:b/>
          <w:bCs/>
          <w:sz w:val="24"/>
          <w:szCs w:val="24"/>
          <w:lang w:val="en-US" w:eastAsia="zh-CN"/>
        </w:rPr>
      </w:pPr>
      <w:r>
        <w:rPr>
          <w:rFonts w:hint="eastAsia"/>
          <w:sz w:val="24"/>
          <w:szCs w:val="24"/>
          <w:lang w:val="en-US" w:eastAsia="zh-CN"/>
        </w:rPr>
        <w:t>由于我国尚没有关于生牛肉饼的国家标准、行业标准、地方标准或团体标准，本文件的技术路线与核心技术内容，充分考虑鲜冻分割牛肉等原材料、产品加工工艺、产品质量指标、产品安全指标等内容。本文件起草过程同时考虑了国内同类产品标准如牛排、肉丸、肉饼标准的情况，包括GB2707-2016《食品安全国家标准 鲜（冻）畜、禽产品》、GB 19295-2021《食品安全国家标准 速冻米面与调制食品》、GB/T 17238-2022《鲜、冻分割牛肉》、GB18394-2020《畜禽肉水分限量》、GB/T 40463-2021《机械分离肉》、QB/T 5442-2020《牛排》、SB/T 10379-2012《速冻调制食品》、SB/T 10610-2011《肉丸》、NYT2073-2011《调理肉制品加工技术规范》、DBS 44/005-2016《食品安全地方标准汕头牛肉丸》等标准。</w:t>
      </w:r>
    </w:p>
    <w:p w14:paraId="2F8BE8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2.1</w:t>
      </w:r>
      <w:r>
        <w:rPr>
          <w:rFonts w:hint="eastAsia"/>
          <w:sz w:val="24"/>
          <w:szCs w:val="24"/>
          <w:lang w:eastAsia="zh-CN"/>
        </w:rPr>
        <w:t>本</w:t>
      </w:r>
      <w:r>
        <w:rPr>
          <w:rFonts w:hint="eastAsia"/>
          <w:sz w:val="24"/>
          <w:szCs w:val="24"/>
          <w:lang w:val="en-US" w:eastAsia="zh-CN"/>
        </w:rPr>
        <w:t>文件</w:t>
      </w:r>
      <w:r>
        <w:rPr>
          <w:rFonts w:hint="eastAsia"/>
          <w:sz w:val="24"/>
          <w:szCs w:val="24"/>
          <w:lang w:eastAsia="zh-CN"/>
        </w:rPr>
        <w:t>的适用范围</w:t>
      </w:r>
    </w:p>
    <w:p w14:paraId="4AA7839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本文件规定了生牛肉饼的术语和定义、产品分类、原辅料、投料要求、技术要求、检验方法、检验规则、判定规则、标签和标志、包装、贮运和销售的要求。</w:t>
      </w:r>
    </w:p>
    <w:p w14:paraId="104230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本文件适用于速冻生牛肉饼的生产、检验和销售。</w:t>
      </w:r>
    </w:p>
    <w:p w14:paraId="5F6C8E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val="en-US" w:eastAsia="zh-CN"/>
        </w:rPr>
      </w:pPr>
      <w:r>
        <w:rPr>
          <w:rFonts w:hint="eastAsia"/>
          <w:sz w:val="24"/>
          <w:szCs w:val="24"/>
          <w:lang w:val="en-US" w:eastAsia="zh-CN"/>
        </w:rPr>
        <w:t>2.2 术语和定义</w:t>
      </w:r>
    </w:p>
    <w:p w14:paraId="6B7F2E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r>
        <w:rPr>
          <w:rFonts w:hint="eastAsia"/>
          <w:sz w:val="24"/>
          <w:szCs w:val="24"/>
          <w:lang w:val="en-US" w:eastAsia="zh-CN"/>
        </w:rPr>
        <w:t>本文件的术语定义以生牛肉饼的产品文化传统、加工工艺及加工过程为基础，结合当前生牛肉饼产品种类多样化的市场情况，主要参考了GB 31646-2018《食品安全国家标准 速冻食品生产和经营卫生规范》、GB 19295-2021《食品安全国家标准 速冻米面与调制食品》、SB/T 10379-2012《速冻调制食品》等标准进行规范。</w:t>
      </w:r>
    </w:p>
    <w:p w14:paraId="2D8F6A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sz w:val="24"/>
          <w:szCs w:val="24"/>
          <w:lang w:val="en-US" w:eastAsia="zh-CN"/>
        </w:rPr>
        <w:t>生牛肉饼是以鲜（冻）分割牛肉为主要原料，经预处理，绞制，添加或不添加辅料、食品添加剂，腌制或不腌制，搅拌，成型，速冻，包装等工艺加工而成的饼状非即食肉类制品。根据消费习惯和行业调研，目前市场上有多种生牛肉饼类型，本文件同时规定了“</w:t>
      </w:r>
      <w:r>
        <w:rPr>
          <w:rFonts w:hint="default"/>
          <w:sz w:val="24"/>
          <w:szCs w:val="24"/>
          <w:lang w:val="en-US" w:eastAsia="zh-CN"/>
        </w:rPr>
        <w:t>纯牛肉饼</w:t>
      </w:r>
      <w:r>
        <w:rPr>
          <w:rFonts w:hint="eastAsia"/>
          <w:sz w:val="24"/>
          <w:szCs w:val="24"/>
          <w:lang w:val="en-US" w:eastAsia="zh-CN"/>
        </w:rPr>
        <w:t>、</w:t>
      </w:r>
      <w:r>
        <w:rPr>
          <w:rFonts w:hint="default"/>
          <w:sz w:val="24"/>
          <w:szCs w:val="24"/>
          <w:lang w:val="en-US" w:eastAsia="zh-CN"/>
        </w:rPr>
        <w:t>调制牛肉饼</w:t>
      </w:r>
      <w:r>
        <w:rPr>
          <w:rFonts w:hint="eastAsia"/>
          <w:sz w:val="24"/>
          <w:szCs w:val="24"/>
          <w:lang w:val="en-US" w:eastAsia="zh-CN"/>
        </w:rPr>
        <w:t>、</w:t>
      </w:r>
      <w:r>
        <w:rPr>
          <w:rFonts w:hint="default"/>
          <w:sz w:val="24"/>
          <w:szCs w:val="24"/>
          <w:lang w:val="en-US" w:eastAsia="zh-CN"/>
        </w:rPr>
        <w:t>纯调制牛肉饼</w:t>
      </w:r>
      <w:r>
        <w:rPr>
          <w:rFonts w:hint="eastAsia"/>
          <w:sz w:val="24"/>
          <w:szCs w:val="24"/>
          <w:lang w:val="en-US" w:eastAsia="zh-CN"/>
        </w:rPr>
        <w:t>、</w:t>
      </w:r>
      <w:r>
        <w:rPr>
          <w:rFonts w:hint="default"/>
          <w:sz w:val="24"/>
          <w:szCs w:val="24"/>
          <w:lang w:val="en-US" w:eastAsia="zh-CN"/>
        </w:rPr>
        <w:t>混合调制牛肉饼</w:t>
      </w:r>
      <w:r>
        <w:rPr>
          <w:rFonts w:hint="eastAsia"/>
          <w:sz w:val="24"/>
          <w:szCs w:val="24"/>
          <w:lang w:val="en-US" w:eastAsia="zh-CN"/>
        </w:rPr>
        <w:t>”的定义。</w:t>
      </w:r>
    </w:p>
    <w:p w14:paraId="43EE89A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textAlignment w:val="auto"/>
        <w:rPr>
          <w:rFonts w:hint="eastAsia"/>
          <w:sz w:val="24"/>
          <w:szCs w:val="24"/>
          <w:lang w:val="en-US" w:eastAsia="zh-CN"/>
        </w:rPr>
      </w:pPr>
      <w:r>
        <w:rPr>
          <w:rFonts w:hint="eastAsia"/>
          <w:sz w:val="24"/>
          <w:szCs w:val="24"/>
          <w:lang w:val="en-US" w:eastAsia="zh-CN"/>
        </w:rPr>
        <w:t>本文件所指生牛肉饼为西式餐饮的牛肉饼，不论哪种类型的产品，主要原料均以牛肉为单一肉源，不使用内脏、骨头、皮等副产品，不使用机械分离肉、组合肉、合成肉等，不使用牛肉制品，不添加其他畜禽肉及其制品，因此GB 2707 或GB/T 17238规定的鲜（冻）分割牛肉是唯一肉原料来源。组织形态可以是肉糜、肉粒和/或小肉块等搅拌成型的牛肉饼。保存和食用条件为需加热熟制后食用的速冻产品。</w:t>
      </w:r>
    </w:p>
    <w:p w14:paraId="049039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textAlignment w:val="auto"/>
        <w:rPr>
          <w:rFonts w:hint="eastAsia"/>
          <w:sz w:val="24"/>
          <w:szCs w:val="24"/>
          <w:lang w:val="en-US" w:eastAsia="zh-CN"/>
        </w:rPr>
      </w:pPr>
      <w:r>
        <w:rPr>
          <w:rFonts w:hint="eastAsia"/>
          <w:sz w:val="24"/>
          <w:szCs w:val="24"/>
          <w:lang w:val="en-US" w:eastAsia="zh-CN"/>
        </w:rPr>
        <w:t>本文件所指“纯牛肉饼”，是以鲜（冻）分割牛肉作为唯一原料，不添加包括水在内的任何其他原辅料，为100%纯肉产品。</w:t>
      </w:r>
    </w:p>
    <w:p w14:paraId="08A62D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textAlignment w:val="auto"/>
        <w:rPr>
          <w:rFonts w:hint="default"/>
          <w:sz w:val="24"/>
          <w:szCs w:val="24"/>
          <w:lang w:val="en-US" w:eastAsia="zh-CN"/>
        </w:rPr>
      </w:pPr>
      <w:r>
        <w:rPr>
          <w:rFonts w:hint="eastAsia"/>
          <w:sz w:val="24"/>
          <w:szCs w:val="24"/>
          <w:lang w:val="en-US" w:eastAsia="zh-CN"/>
        </w:rPr>
        <w:t>本文件所指“</w:t>
      </w:r>
      <w:r>
        <w:rPr>
          <w:rFonts w:hint="default"/>
          <w:sz w:val="24"/>
          <w:szCs w:val="24"/>
          <w:lang w:val="en-US" w:eastAsia="zh-CN"/>
        </w:rPr>
        <w:t>纯调制牛肉饼</w:t>
      </w:r>
      <w:r>
        <w:rPr>
          <w:rFonts w:hint="eastAsia"/>
          <w:sz w:val="24"/>
          <w:szCs w:val="24"/>
          <w:lang w:val="en-US" w:eastAsia="zh-CN"/>
        </w:rPr>
        <w:t>”可理解为纯牛肉饼基础上仅添加少量水分、调味料及食品添加剂的产品，不再添加其他原辅料，肉含量仅次于“纯牛肉饼”。</w:t>
      </w:r>
    </w:p>
    <w:p w14:paraId="1A4AB8B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r>
        <w:rPr>
          <w:rFonts w:hint="eastAsia"/>
          <w:sz w:val="24"/>
          <w:szCs w:val="24"/>
          <w:lang w:val="en-US" w:eastAsia="zh-CN"/>
        </w:rPr>
        <w:t xml:space="preserve">    为满足市场创新发展及消费者口味多样化的需求，本文件同时规定了“混合</w:t>
      </w:r>
      <w:r>
        <w:rPr>
          <w:rFonts w:hint="default"/>
          <w:sz w:val="24"/>
          <w:szCs w:val="24"/>
          <w:lang w:val="en-US" w:eastAsia="zh-CN"/>
        </w:rPr>
        <w:t>调制牛肉饼</w:t>
      </w:r>
      <w:r>
        <w:rPr>
          <w:rFonts w:hint="eastAsia"/>
          <w:sz w:val="24"/>
          <w:szCs w:val="24"/>
          <w:lang w:val="en-US" w:eastAsia="zh-CN"/>
        </w:rPr>
        <w:t>”的定义，强调以鲜（冻）分割牛肉作为唯一的肉类原料，不添加猪肉、鸡鸭等其他畜禽肉及其制品，可以添加水、调味料、食品添加剂，可以添加淀粉、植物蛋白等，可以添加蔬菜、水果、鸡蛋、坚果等其他非肉类食品原料，由一类及多类原料搭配组成的混合肉类制品。</w:t>
      </w:r>
    </w:p>
    <w:p w14:paraId="2E9579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2.3 分类</w:t>
      </w:r>
    </w:p>
    <w:p w14:paraId="7ADCA58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按照生牛肉饼</w:t>
      </w:r>
      <w:r>
        <w:rPr>
          <w:rFonts w:hint="eastAsia"/>
          <w:sz w:val="24"/>
          <w:szCs w:val="24"/>
          <w:lang w:val="en-US" w:eastAsia="zh-CN"/>
        </w:rPr>
        <w:t>的</w:t>
      </w:r>
      <w:r>
        <w:rPr>
          <w:rFonts w:hint="eastAsia"/>
          <w:sz w:val="24"/>
          <w:szCs w:val="24"/>
          <w:lang w:eastAsia="zh-CN"/>
        </w:rPr>
        <w:t>生产过程原辅料的添加情况，对生牛肉饼进行了归类：</w:t>
      </w:r>
    </w:p>
    <w:p w14:paraId="7A3E72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1）第一大类：</w:t>
      </w:r>
      <w:r>
        <w:rPr>
          <w:rFonts w:hint="eastAsia"/>
          <w:sz w:val="24"/>
          <w:szCs w:val="24"/>
          <w:lang w:eastAsia="zh-CN"/>
        </w:rPr>
        <w:t>纯牛肉饼；</w:t>
      </w:r>
    </w:p>
    <w:p w14:paraId="31EE770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2）第二大类：</w:t>
      </w:r>
      <w:r>
        <w:rPr>
          <w:rFonts w:hint="eastAsia"/>
          <w:sz w:val="24"/>
          <w:szCs w:val="24"/>
          <w:lang w:eastAsia="zh-CN"/>
        </w:rPr>
        <w:t>调制牛肉饼，</w:t>
      </w:r>
      <w:r>
        <w:rPr>
          <w:rFonts w:hint="eastAsia"/>
          <w:sz w:val="24"/>
          <w:szCs w:val="24"/>
          <w:lang w:val="en-US" w:eastAsia="zh-CN"/>
        </w:rPr>
        <w:t>并细分为两类：</w:t>
      </w:r>
      <w:r>
        <w:rPr>
          <w:rFonts w:hint="eastAsia"/>
          <w:sz w:val="24"/>
          <w:szCs w:val="24"/>
          <w:lang w:eastAsia="zh-CN"/>
        </w:rPr>
        <w:t>纯调制牛肉饼、混合调制牛肉饼。</w:t>
      </w:r>
    </w:p>
    <w:p w14:paraId="0F4A1C7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 xml:space="preserve">2.3 </w:t>
      </w:r>
      <w:r>
        <w:rPr>
          <w:rFonts w:hint="eastAsia"/>
          <w:sz w:val="24"/>
          <w:szCs w:val="24"/>
          <w:lang w:eastAsia="zh-CN"/>
        </w:rPr>
        <w:t>原辅料要求</w:t>
      </w:r>
    </w:p>
    <w:p w14:paraId="62D76D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textAlignment w:val="auto"/>
        <w:rPr>
          <w:rFonts w:hint="eastAsia"/>
          <w:sz w:val="24"/>
          <w:szCs w:val="24"/>
          <w:lang w:val="en-US" w:eastAsia="zh-CN"/>
        </w:rPr>
      </w:pPr>
      <w:r>
        <w:rPr>
          <w:rFonts w:hint="eastAsia"/>
          <w:sz w:val="24"/>
          <w:szCs w:val="24"/>
          <w:lang w:val="en-US" w:eastAsia="zh-CN"/>
        </w:rPr>
        <w:t>鲜（冻）分割牛肉作为重要的牛肉饼肉类原料，文件中明确规定了该原料执行标准，考虑到进口的鲜冻牛肉更多执行GB/T 17238的情况，因此提出了“应符合GB 2707 或GB/T 17238的规定”。</w:t>
      </w:r>
    </w:p>
    <w:p w14:paraId="59D7196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textAlignment w:val="auto"/>
        <w:rPr>
          <w:rFonts w:hint="default"/>
          <w:sz w:val="24"/>
          <w:szCs w:val="24"/>
          <w:lang w:val="en-US" w:eastAsia="zh-CN"/>
        </w:rPr>
      </w:pPr>
      <w:r>
        <w:rPr>
          <w:rFonts w:hint="eastAsia"/>
          <w:sz w:val="24"/>
          <w:szCs w:val="24"/>
          <w:lang w:val="en-US" w:eastAsia="zh-CN"/>
        </w:rPr>
        <w:t>对于其他原辅料，食品安全国家标准作为市场强制准入制度，所有食品均应符合食品安全国家标准中的规定，因此标准中不再引用。</w:t>
      </w:r>
    </w:p>
    <w:p w14:paraId="6AD450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r>
        <w:rPr>
          <w:rFonts w:hint="eastAsia"/>
          <w:sz w:val="24"/>
          <w:szCs w:val="24"/>
          <w:lang w:val="en-US" w:eastAsia="zh-CN"/>
        </w:rPr>
        <w:t>2.4 投料</w:t>
      </w:r>
      <w:r>
        <w:rPr>
          <w:rFonts w:hint="eastAsia"/>
          <w:sz w:val="24"/>
          <w:szCs w:val="24"/>
          <w:lang w:eastAsia="zh-CN"/>
        </w:rPr>
        <w:t>要求</w:t>
      </w:r>
    </w:p>
    <w:p w14:paraId="0EE4A82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val="en-US" w:eastAsia="zh-CN"/>
        </w:rPr>
        <w:t>为规范企业生产，对生产中的投料提出了要求，可为市场监管提供依据。</w:t>
      </w:r>
    </w:p>
    <w:p w14:paraId="2CDFA2B4">
      <w:pPr>
        <w:adjustRightInd w:val="0"/>
        <w:spacing w:line="240" w:lineRule="auto"/>
        <w:jc w:val="center"/>
        <w:rPr>
          <w:rFonts w:hint="eastAsia" w:ascii="Calibri" w:hAnsi="宋体" w:eastAsia="宋体" w:cs="宋体"/>
          <w:color w:val="auto"/>
          <w:spacing w:val="-8"/>
          <w:szCs w:val="21"/>
          <w:highlight w:val="none"/>
        </w:rPr>
      </w:pPr>
    </w:p>
    <w:p w14:paraId="22B6B3DF">
      <w:pPr>
        <w:adjustRightInd w:val="0"/>
        <w:spacing w:line="240" w:lineRule="auto"/>
        <w:jc w:val="center"/>
        <w:rPr>
          <w:rFonts w:hint="default" w:ascii="Calibri" w:hAnsi="宋体" w:eastAsia="宋体" w:cs="宋体"/>
          <w:color w:val="auto"/>
          <w:spacing w:val="-8"/>
          <w:szCs w:val="21"/>
          <w:highlight w:val="none"/>
          <w:lang w:val="en-US" w:eastAsia="zh-CN"/>
        </w:rPr>
      </w:pPr>
      <w:r>
        <w:rPr>
          <w:rFonts w:hint="eastAsia" w:ascii="Calibri" w:hAnsi="宋体" w:eastAsia="宋体" w:cs="宋体"/>
          <w:color w:val="auto"/>
          <w:spacing w:val="-8"/>
          <w:szCs w:val="21"/>
          <w:highlight w:val="none"/>
        </w:rPr>
        <w:t xml:space="preserve">表1 </w:t>
      </w:r>
      <w:r>
        <w:rPr>
          <w:rFonts w:hint="eastAsia" w:ascii="Calibri" w:hAnsi="宋体" w:eastAsia="宋体" w:cs="宋体"/>
          <w:color w:val="auto"/>
          <w:spacing w:val="-8"/>
          <w:szCs w:val="21"/>
          <w:highlight w:val="none"/>
          <w:lang w:val="en-US" w:eastAsia="zh-CN"/>
        </w:rPr>
        <w:t>投料要求</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9"/>
        <w:gridCol w:w="2782"/>
        <w:gridCol w:w="2676"/>
        <w:gridCol w:w="1175"/>
      </w:tblGrid>
      <w:tr w14:paraId="5D56C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9" w:type="dxa"/>
            <w:vAlign w:val="center"/>
          </w:tcPr>
          <w:p w14:paraId="3108212C">
            <w:pPr>
              <w:pStyle w:val="9"/>
              <w:numPr>
                <w:ilvl w:val="-1"/>
                <w:numId w:val="0"/>
              </w:numPr>
              <w:jc w:val="center"/>
              <w:rPr>
                <w:rFonts w:hint="eastAsia" w:eastAsia="宋体"/>
                <w:b w:val="0"/>
                <w:bCs w:val="0"/>
                <w:color w:val="auto"/>
                <w:highlight w:val="none"/>
                <w:vertAlign w:val="baseline"/>
                <w:lang w:val="en-US" w:eastAsia="zh-CN"/>
              </w:rPr>
            </w:pPr>
            <w:r>
              <w:rPr>
                <w:rFonts w:hint="eastAsia"/>
                <w:b w:val="0"/>
                <w:bCs w:val="0"/>
                <w:color w:val="auto"/>
                <w:highlight w:val="none"/>
                <w:vertAlign w:val="baseline"/>
                <w:lang w:val="en-US" w:eastAsia="zh-CN"/>
              </w:rPr>
              <w:t>类别</w:t>
            </w:r>
          </w:p>
        </w:tc>
        <w:tc>
          <w:tcPr>
            <w:tcW w:w="2782" w:type="dxa"/>
            <w:vAlign w:val="center"/>
          </w:tcPr>
          <w:p w14:paraId="43248200">
            <w:pPr>
              <w:pStyle w:val="9"/>
              <w:numPr>
                <w:ilvl w:val="-1"/>
                <w:numId w:val="0"/>
              </w:numPr>
              <w:jc w:val="center"/>
              <w:rPr>
                <w:rFonts w:hint="eastAsia" w:eastAsia="宋体"/>
                <w:b w:val="0"/>
                <w:bCs w:val="0"/>
                <w:color w:val="auto"/>
                <w:highlight w:val="none"/>
                <w:vertAlign w:val="baseline"/>
                <w:lang w:val="en-US" w:eastAsia="zh-CN"/>
              </w:rPr>
            </w:pPr>
            <w:r>
              <w:rPr>
                <w:rFonts w:hint="eastAsia"/>
                <w:b w:val="0"/>
                <w:bCs w:val="0"/>
                <w:color w:val="auto"/>
                <w:highlight w:val="none"/>
                <w:vertAlign w:val="baseline"/>
                <w:lang w:val="en-US" w:eastAsia="zh-CN"/>
              </w:rPr>
              <w:t>主料</w:t>
            </w:r>
          </w:p>
        </w:tc>
        <w:tc>
          <w:tcPr>
            <w:tcW w:w="2676" w:type="dxa"/>
            <w:vAlign w:val="center"/>
          </w:tcPr>
          <w:p w14:paraId="0298615E">
            <w:pPr>
              <w:pStyle w:val="9"/>
              <w:numPr>
                <w:ilvl w:val="-1"/>
                <w:numId w:val="0"/>
              </w:numPr>
              <w:jc w:val="center"/>
              <w:rPr>
                <w:rFonts w:hint="default" w:eastAsia="宋体"/>
                <w:b w:val="0"/>
                <w:bCs w:val="0"/>
                <w:color w:val="auto"/>
                <w:highlight w:val="none"/>
                <w:vertAlign w:val="baseline"/>
                <w:lang w:val="en-US" w:eastAsia="zh-CN"/>
              </w:rPr>
            </w:pPr>
            <w:r>
              <w:rPr>
                <w:rFonts w:hint="eastAsia"/>
                <w:b w:val="0"/>
                <w:bCs w:val="0"/>
                <w:color w:val="auto"/>
                <w:highlight w:val="none"/>
                <w:vertAlign w:val="baseline"/>
                <w:lang w:val="en-US" w:eastAsia="zh-CN"/>
              </w:rPr>
              <w:t>在终产品净含量中的质量分数/（%）</w:t>
            </w:r>
          </w:p>
        </w:tc>
        <w:tc>
          <w:tcPr>
            <w:tcW w:w="1175" w:type="dxa"/>
            <w:vAlign w:val="center"/>
          </w:tcPr>
          <w:p w14:paraId="60A13340">
            <w:pPr>
              <w:pStyle w:val="9"/>
              <w:numPr>
                <w:ilvl w:val="-1"/>
                <w:numId w:val="0"/>
              </w:numPr>
              <w:jc w:val="center"/>
              <w:rPr>
                <w:rFonts w:hint="default"/>
                <w:b w:val="0"/>
                <w:bCs w:val="0"/>
                <w:color w:val="auto"/>
                <w:highlight w:val="none"/>
                <w:vertAlign w:val="baseline"/>
                <w:lang w:val="en-US" w:eastAsia="zh-CN"/>
              </w:rPr>
            </w:pPr>
            <w:r>
              <w:rPr>
                <w:rFonts w:hint="eastAsia"/>
                <w:b w:val="0"/>
                <w:bCs w:val="0"/>
                <w:color w:val="auto"/>
                <w:highlight w:val="none"/>
                <w:vertAlign w:val="baseline"/>
                <w:lang w:val="en-US" w:eastAsia="zh-CN"/>
              </w:rPr>
              <w:t>检验方法</w:t>
            </w:r>
          </w:p>
        </w:tc>
      </w:tr>
      <w:tr w14:paraId="479AE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89" w:type="dxa"/>
            <w:vAlign w:val="center"/>
          </w:tcPr>
          <w:p w14:paraId="01463645">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纯牛肉饼</w:t>
            </w:r>
          </w:p>
        </w:tc>
        <w:tc>
          <w:tcPr>
            <w:tcW w:w="2782" w:type="dxa"/>
            <w:vAlign w:val="center"/>
          </w:tcPr>
          <w:p w14:paraId="0E16B929">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 xml:space="preserve">鲜（冻）分割牛肉 </w:t>
            </w:r>
            <w:r>
              <w:rPr>
                <w:rFonts w:hint="eastAsia"/>
                <w:color w:val="auto"/>
                <w:highlight w:val="none"/>
              </w:rPr>
              <w:t xml:space="preserve">  </w:t>
            </w:r>
            <w:r>
              <w:rPr>
                <w:rFonts w:hint="eastAsia"/>
                <w:color w:val="auto"/>
                <w:highlight w:val="none"/>
                <w:lang w:val="en-US" w:eastAsia="zh-CN"/>
              </w:rPr>
              <w:t xml:space="preserve"> ＝</w:t>
            </w:r>
          </w:p>
        </w:tc>
        <w:tc>
          <w:tcPr>
            <w:tcW w:w="2676" w:type="dxa"/>
            <w:vAlign w:val="center"/>
          </w:tcPr>
          <w:p w14:paraId="69142D95">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100</w:t>
            </w:r>
          </w:p>
        </w:tc>
        <w:tc>
          <w:tcPr>
            <w:tcW w:w="1175" w:type="dxa"/>
            <w:vMerge w:val="restart"/>
            <w:vAlign w:val="center"/>
          </w:tcPr>
          <w:p w14:paraId="536C1F62">
            <w:pPr>
              <w:pStyle w:val="9"/>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按附录A规定的方法计算</w:t>
            </w:r>
          </w:p>
        </w:tc>
      </w:tr>
      <w:tr w14:paraId="5910C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889" w:type="dxa"/>
            <w:vMerge w:val="restart"/>
            <w:vAlign w:val="center"/>
          </w:tcPr>
          <w:p w14:paraId="46EEA07A">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纯调制牛肉饼</w:t>
            </w:r>
          </w:p>
        </w:tc>
        <w:tc>
          <w:tcPr>
            <w:tcW w:w="2782" w:type="dxa"/>
            <w:vAlign w:val="center"/>
          </w:tcPr>
          <w:p w14:paraId="727A739E">
            <w:pPr>
              <w:pStyle w:val="9"/>
              <w:numPr>
                <w:ilvl w:val="-1"/>
                <w:numId w:val="0"/>
              </w:numPr>
              <w:jc w:val="both"/>
              <w:rPr>
                <w:rFonts w:hint="eastAsia" w:eastAsia="宋体"/>
                <w:color w:val="auto"/>
                <w:highlight w:val="none"/>
                <w:vertAlign w:val="baseline"/>
                <w:lang w:val="en-US" w:eastAsia="zh-CN"/>
              </w:rPr>
            </w:pPr>
            <w:r>
              <w:rPr>
                <w:rFonts w:hint="eastAsia"/>
                <w:color w:val="auto"/>
                <w:highlight w:val="none"/>
                <w:vertAlign w:val="baseline"/>
                <w:lang w:val="en-US" w:eastAsia="zh-CN"/>
              </w:rPr>
              <w:t xml:space="preserve">鲜（冻）分割牛肉 </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2676" w:type="dxa"/>
            <w:vAlign w:val="center"/>
          </w:tcPr>
          <w:p w14:paraId="153F66B9">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85</w:t>
            </w:r>
          </w:p>
        </w:tc>
        <w:tc>
          <w:tcPr>
            <w:tcW w:w="1175" w:type="dxa"/>
            <w:vMerge w:val="continue"/>
            <w:vAlign w:val="center"/>
          </w:tcPr>
          <w:p w14:paraId="68F52151">
            <w:pPr>
              <w:pStyle w:val="9"/>
              <w:numPr>
                <w:ilvl w:val="-1"/>
                <w:numId w:val="0"/>
              </w:numPr>
              <w:jc w:val="both"/>
              <w:rPr>
                <w:rFonts w:hint="eastAsia"/>
                <w:color w:val="auto"/>
                <w:highlight w:val="none"/>
                <w:vertAlign w:val="baseline"/>
                <w:lang w:val="en-US" w:eastAsia="zh-CN"/>
              </w:rPr>
            </w:pPr>
          </w:p>
        </w:tc>
      </w:tr>
      <w:tr w14:paraId="594BA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89" w:type="dxa"/>
            <w:vMerge w:val="continue"/>
            <w:vAlign w:val="center"/>
          </w:tcPr>
          <w:p w14:paraId="290EB642">
            <w:pPr>
              <w:pStyle w:val="9"/>
              <w:numPr>
                <w:ilvl w:val="-1"/>
                <w:numId w:val="0"/>
              </w:numPr>
              <w:jc w:val="both"/>
              <w:rPr>
                <w:color w:val="auto"/>
                <w:highlight w:val="none"/>
                <w:vertAlign w:val="baseline"/>
              </w:rPr>
            </w:pPr>
          </w:p>
        </w:tc>
        <w:tc>
          <w:tcPr>
            <w:tcW w:w="2782" w:type="dxa"/>
            <w:vAlign w:val="center"/>
          </w:tcPr>
          <w:p w14:paraId="5D8C6218">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调味辅料及添加剂    ≤</w:t>
            </w:r>
          </w:p>
        </w:tc>
        <w:tc>
          <w:tcPr>
            <w:tcW w:w="2676" w:type="dxa"/>
            <w:vAlign w:val="center"/>
          </w:tcPr>
          <w:p w14:paraId="69D7F30E">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15</w:t>
            </w:r>
          </w:p>
        </w:tc>
        <w:tc>
          <w:tcPr>
            <w:tcW w:w="1175" w:type="dxa"/>
            <w:vMerge w:val="continue"/>
            <w:vAlign w:val="center"/>
          </w:tcPr>
          <w:p w14:paraId="5C2572B2">
            <w:pPr>
              <w:pStyle w:val="9"/>
              <w:numPr>
                <w:ilvl w:val="-1"/>
                <w:numId w:val="0"/>
              </w:numPr>
              <w:jc w:val="both"/>
              <w:rPr>
                <w:rFonts w:hint="eastAsia"/>
                <w:color w:val="auto"/>
                <w:highlight w:val="none"/>
                <w:vertAlign w:val="baseline"/>
                <w:lang w:val="en-US" w:eastAsia="zh-CN"/>
              </w:rPr>
            </w:pPr>
          </w:p>
        </w:tc>
      </w:tr>
      <w:tr w14:paraId="16A7D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1889" w:type="dxa"/>
            <w:vMerge w:val="restart"/>
            <w:vAlign w:val="center"/>
          </w:tcPr>
          <w:p w14:paraId="232F73AE">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混合调制牛肉饼</w:t>
            </w:r>
          </w:p>
        </w:tc>
        <w:tc>
          <w:tcPr>
            <w:tcW w:w="2782" w:type="dxa"/>
            <w:vAlign w:val="center"/>
          </w:tcPr>
          <w:p w14:paraId="2FB3B148">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 xml:space="preserve">鲜（冻）分割牛肉 </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2676" w:type="dxa"/>
            <w:vAlign w:val="center"/>
          </w:tcPr>
          <w:p w14:paraId="229AECFC">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60</w:t>
            </w:r>
          </w:p>
        </w:tc>
        <w:tc>
          <w:tcPr>
            <w:tcW w:w="1175" w:type="dxa"/>
            <w:vMerge w:val="continue"/>
            <w:vAlign w:val="center"/>
          </w:tcPr>
          <w:p w14:paraId="79E30428">
            <w:pPr>
              <w:pStyle w:val="9"/>
              <w:numPr>
                <w:ilvl w:val="-1"/>
                <w:numId w:val="0"/>
              </w:numPr>
              <w:jc w:val="both"/>
              <w:rPr>
                <w:rFonts w:hint="eastAsia"/>
                <w:color w:val="auto"/>
                <w:highlight w:val="none"/>
                <w:vertAlign w:val="baseline"/>
                <w:lang w:val="en-US" w:eastAsia="zh-CN"/>
              </w:rPr>
            </w:pPr>
          </w:p>
        </w:tc>
      </w:tr>
      <w:tr w14:paraId="7C30F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9" w:type="dxa"/>
            <w:vMerge w:val="continue"/>
            <w:vAlign w:val="center"/>
          </w:tcPr>
          <w:p w14:paraId="4DEE54DC">
            <w:pPr>
              <w:pStyle w:val="9"/>
              <w:numPr>
                <w:ilvl w:val="-1"/>
                <w:numId w:val="0"/>
              </w:numPr>
              <w:jc w:val="both"/>
              <w:rPr>
                <w:color w:val="auto"/>
                <w:highlight w:val="none"/>
                <w:vertAlign w:val="baseline"/>
              </w:rPr>
            </w:pPr>
          </w:p>
        </w:tc>
        <w:tc>
          <w:tcPr>
            <w:tcW w:w="2782" w:type="dxa"/>
            <w:vAlign w:val="center"/>
          </w:tcPr>
          <w:p w14:paraId="1E4CD458">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 xml:space="preserve">非肉类蛋白 </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 xml:space="preserve">    </w:t>
            </w:r>
            <w:r>
              <w:rPr>
                <w:rFonts w:hint="eastAsia"/>
                <w:color w:val="auto"/>
                <w:highlight w:val="none"/>
                <w:vertAlign w:val="baseline"/>
                <w:lang w:val="en-US" w:eastAsia="zh-CN"/>
              </w:rPr>
              <w:t>≤</w:t>
            </w:r>
          </w:p>
        </w:tc>
        <w:tc>
          <w:tcPr>
            <w:tcW w:w="2676" w:type="dxa"/>
            <w:vAlign w:val="center"/>
          </w:tcPr>
          <w:p w14:paraId="26B6F9EB">
            <w:pPr>
              <w:pStyle w:val="9"/>
              <w:numPr>
                <w:ilvl w:val="-1"/>
                <w:numId w:val="0"/>
              </w:numPr>
              <w:jc w:val="both"/>
              <w:rPr>
                <w:rFonts w:hint="default" w:eastAsia="宋体"/>
                <w:color w:val="auto"/>
                <w:highlight w:val="none"/>
                <w:vertAlign w:val="baseline"/>
                <w:lang w:val="en-US" w:eastAsia="zh-CN"/>
              </w:rPr>
            </w:pPr>
            <w:r>
              <w:rPr>
                <w:rFonts w:hint="eastAsia"/>
                <w:color w:val="auto"/>
                <w:highlight w:val="none"/>
                <w:vertAlign w:val="baseline"/>
                <w:lang w:val="en-US" w:eastAsia="zh-CN"/>
              </w:rPr>
              <w:t>7</w:t>
            </w:r>
          </w:p>
        </w:tc>
        <w:tc>
          <w:tcPr>
            <w:tcW w:w="1175" w:type="dxa"/>
            <w:vMerge w:val="continue"/>
            <w:vAlign w:val="center"/>
          </w:tcPr>
          <w:p w14:paraId="489AE92E">
            <w:pPr>
              <w:pStyle w:val="9"/>
              <w:numPr>
                <w:ilvl w:val="-1"/>
                <w:numId w:val="0"/>
              </w:numPr>
              <w:jc w:val="both"/>
              <w:rPr>
                <w:rFonts w:hint="eastAsia"/>
                <w:color w:val="auto"/>
                <w:highlight w:val="none"/>
                <w:vertAlign w:val="baseline"/>
                <w:lang w:val="en-US" w:eastAsia="zh-CN"/>
              </w:rPr>
            </w:pPr>
          </w:p>
        </w:tc>
      </w:tr>
      <w:tr w14:paraId="554F0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89" w:type="dxa"/>
            <w:vMerge w:val="continue"/>
            <w:vAlign w:val="center"/>
          </w:tcPr>
          <w:p w14:paraId="53275B5B">
            <w:pPr>
              <w:pStyle w:val="9"/>
              <w:numPr>
                <w:ilvl w:val="-1"/>
                <w:numId w:val="0"/>
              </w:numPr>
              <w:jc w:val="both"/>
              <w:rPr>
                <w:color w:val="auto"/>
                <w:highlight w:val="none"/>
                <w:vertAlign w:val="baseline"/>
              </w:rPr>
            </w:pPr>
          </w:p>
        </w:tc>
        <w:tc>
          <w:tcPr>
            <w:tcW w:w="2782" w:type="dxa"/>
            <w:vAlign w:val="center"/>
          </w:tcPr>
          <w:p w14:paraId="3ED02DBD">
            <w:pPr>
              <w:pStyle w:val="9"/>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淀粉</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2676" w:type="dxa"/>
            <w:vAlign w:val="center"/>
          </w:tcPr>
          <w:p w14:paraId="132E227B">
            <w:pPr>
              <w:pStyle w:val="9"/>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3</w:t>
            </w:r>
          </w:p>
        </w:tc>
        <w:tc>
          <w:tcPr>
            <w:tcW w:w="1175" w:type="dxa"/>
            <w:vMerge w:val="continue"/>
            <w:vAlign w:val="center"/>
          </w:tcPr>
          <w:p w14:paraId="6730A34B">
            <w:pPr>
              <w:pStyle w:val="9"/>
              <w:numPr>
                <w:ilvl w:val="-1"/>
                <w:numId w:val="0"/>
              </w:numPr>
              <w:jc w:val="both"/>
              <w:rPr>
                <w:rFonts w:hint="eastAsia"/>
                <w:color w:val="auto"/>
                <w:highlight w:val="none"/>
                <w:vertAlign w:val="baseline"/>
                <w:lang w:val="en-US" w:eastAsia="zh-CN"/>
              </w:rPr>
            </w:pPr>
          </w:p>
        </w:tc>
      </w:tr>
      <w:tr w14:paraId="4DC94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889" w:type="dxa"/>
            <w:vMerge w:val="continue"/>
            <w:vAlign w:val="center"/>
          </w:tcPr>
          <w:p w14:paraId="0A94A03E">
            <w:pPr>
              <w:pStyle w:val="9"/>
              <w:numPr>
                <w:ilvl w:val="-1"/>
                <w:numId w:val="0"/>
              </w:numPr>
              <w:jc w:val="both"/>
              <w:rPr>
                <w:color w:val="auto"/>
                <w:highlight w:val="none"/>
                <w:vertAlign w:val="baseline"/>
              </w:rPr>
            </w:pPr>
          </w:p>
        </w:tc>
        <w:tc>
          <w:tcPr>
            <w:tcW w:w="2782" w:type="dxa"/>
            <w:vAlign w:val="center"/>
          </w:tcPr>
          <w:p w14:paraId="5CDABED4">
            <w:pPr>
              <w:pStyle w:val="9"/>
              <w:numPr>
                <w:ilvl w:val="-1"/>
                <w:numId w:val="0"/>
              </w:numPr>
              <w:jc w:val="both"/>
              <w:rPr>
                <w:rFonts w:hint="eastAsia"/>
                <w:color w:val="auto"/>
                <w:highlight w:val="none"/>
                <w:vertAlign w:val="baseline"/>
                <w:lang w:val="en-US" w:eastAsia="zh-CN"/>
              </w:rPr>
            </w:pPr>
            <w:r>
              <w:rPr>
                <w:rFonts w:hint="eastAsia"/>
                <w:color w:val="auto"/>
                <w:highlight w:val="none"/>
                <w:vertAlign w:val="baseline"/>
                <w:lang w:val="en-US" w:eastAsia="zh-CN"/>
              </w:rPr>
              <w:t>其他原辅料</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vertAlign w:val="baseline"/>
                <w:lang w:val="en-US" w:eastAsia="zh-CN"/>
              </w:rPr>
              <w:t>≤</w:t>
            </w:r>
          </w:p>
        </w:tc>
        <w:tc>
          <w:tcPr>
            <w:tcW w:w="2676" w:type="dxa"/>
            <w:vAlign w:val="center"/>
          </w:tcPr>
          <w:p w14:paraId="2E0B1BA4">
            <w:pPr>
              <w:pStyle w:val="9"/>
              <w:numPr>
                <w:ilvl w:val="-1"/>
                <w:numId w:val="0"/>
              </w:numPr>
              <w:jc w:val="both"/>
              <w:rPr>
                <w:rFonts w:hint="default"/>
                <w:color w:val="auto"/>
                <w:highlight w:val="none"/>
                <w:vertAlign w:val="baseline"/>
                <w:lang w:val="en-US" w:eastAsia="zh-CN"/>
              </w:rPr>
            </w:pPr>
            <w:r>
              <w:rPr>
                <w:rFonts w:hint="eastAsia"/>
                <w:color w:val="auto"/>
                <w:highlight w:val="none"/>
                <w:vertAlign w:val="baseline"/>
                <w:lang w:val="en-US" w:eastAsia="zh-CN"/>
              </w:rPr>
              <w:t>40</w:t>
            </w:r>
          </w:p>
        </w:tc>
        <w:tc>
          <w:tcPr>
            <w:tcW w:w="1175" w:type="dxa"/>
            <w:vMerge w:val="continue"/>
            <w:vAlign w:val="center"/>
          </w:tcPr>
          <w:p w14:paraId="5E4EAC6B">
            <w:pPr>
              <w:pStyle w:val="9"/>
              <w:numPr>
                <w:ilvl w:val="-1"/>
                <w:numId w:val="0"/>
              </w:numPr>
              <w:jc w:val="both"/>
              <w:rPr>
                <w:rFonts w:hint="eastAsia"/>
                <w:color w:val="auto"/>
                <w:highlight w:val="none"/>
                <w:vertAlign w:val="baseline"/>
                <w:lang w:val="en-US" w:eastAsia="zh-CN"/>
              </w:rPr>
            </w:pPr>
          </w:p>
        </w:tc>
      </w:tr>
    </w:tbl>
    <w:p w14:paraId="4125061C">
      <w:pPr>
        <w:adjustRightInd w:val="0"/>
        <w:spacing w:line="240" w:lineRule="auto"/>
        <w:jc w:val="center"/>
        <w:rPr>
          <w:rFonts w:hint="eastAsia" w:ascii="Calibri" w:hAnsi="宋体" w:eastAsia="宋体" w:cs="宋体"/>
          <w:color w:val="auto"/>
          <w:spacing w:val="-8"/>
          <w:szCs w:val="21"/>
          <w:highlight w:val="none"/>
        </w:rPr>
      </w:pPr>
    </w:p>
    <w:p w14:paraId="569A112D">
      <w:pPr>
        <w:adjustRightInd w:val="0"/>
        <w:spacing w:line="240" w:lineRule="auto"/>
        <w:jc w:val="center"/>
        <w:rPr>
          <w:rFonts w:hint="eastAsia" w:ascii="Calibri" w:hAnsi="宋体" w:eastAsia="宋体" w:cs="宋体"/>
          <w:color w:val="auto"/>
          <w:spacing w:val="-8"/>
          <w:szCs w:val="21"/>
          <w:highlight w:val="none"/>
        </w:rPr>
      </w:pPr>
    </w:p>
    <w:p w14:paraId="121BB0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2.5 技术指标及检验方法</w:t>
      </w:r>
    </w:p>
    <w:p w14:paraId="174FB0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val="en-US" w:eastAsia="zh-CN"/>
        </w:rPr>
      </w:pPr>
      <w:r>
        <w:rPr>
          <w:rFonts w:hint="eastAsia"/>
          <w:sz w:val="24"/>
          <w:szCs w:val="24"/>
          <w:lang w:eastAsia="zh-CN"/>
        </w:rPr>
        <w:t>关于技术指标的规定，</w:t>
      </w:r>
      <w:r>
        <w:rPr>
          <w:rFonts w:hint="eastAsia"/>
          <w:sz w:val="24"/>
          <w:szCs w:val="24"/>
          <w:lang w:val="en-US" w:eastAsia="zh-CN"/>
        </w:rPr>
        <w:t>本文件</w:t>
      </w:r>
      <w:r>
        <w:rPr>
          <w:rFonts w:hint="eastAsia"/>
          <w:sz w:val="24"/>
          <w:szCs w:val="24"/>
          <w:lang w:eastAsia="zh-CN"/>
        </w:rPr>
        <w:t>充分考虑了国家食品安全标准，并在此基础上，对理化指标进行了更为严格的规定，</w:t>
      </w:r>
      <w:r>
        <w:rPr>
          <w:rFonts w:hint="eastAsia"/>
          <w:sz w:val="24"/>
          <w:szCs w:val="24"/>
          <w:lang w:val="en-US" w:eastAsia="zh-CN"/>
        </w:rPr>
        <w:t>从感官、理化、安全</w:t>
      </w:r>
      <w:r>
        <w:rPr>
          <w:rFonts w:hint="eastAsia"/>
          <w:sz w:val="24"/>
          <w:szCs w:val="24"/>
          <w:lang w:eastAsia="zh-CN"/>
        </w:rPr>
        <w:t>等</w:t>
      </w:r>
      <w:r>
        <w:rPr>
          <w:rFonts w:hint="eastAsia"/>
          <w:sz w:val="24"/>
          <w:szCs w:val="24"/>
          <w:lang w:val="en-US" w:eastAsia="zh-CN"/>
        </w:rPr>
        <w:t>多个</w:t>
      </w:r>
      <w:r>
        <w:rPr>
          <w:rFonts w:hint="eastAsia"/>
          <w:sz w:val="24"/>
          <w:szCs w:val="24"/>
          <w:lang w:eastAsia="zh-CN"/>
        </w:rPr>
        <w:t>角度对产品进行规范。</w:t>
      </w:r>
    </w:p>
    <w:p w14:paraId="72E0955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eastAsia"/>
          <w:sz w:val="24"/>
          <w:szCs w:val="24"/>
          <w:lang w:val="en-US" w:eastAsia="zh-CN"/>
        </w:rPr>
      </w:pPr>
      <w:r>
        <w:rPr>
          <w:rFonts w:hint="eastAsia"/>
          <w:sz w:val="24"/>
          <w:szCs w:val="24"/>
          <w:lang w:val="en-US" w:eastAsia="zh-CN"/>
        </w:rPr>
        <w:t>规定感官要求及检验方法；</w:t>
      </w:r>
    </w:p>
    <w:p w14:paraId="615DEF3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混合调制牛肉饼的蛋白质含量应≥10g/100g，按GB 5009.5规定的方法测定。</w:t>
      </w:r>
    </w:p>
    <w:p w14:paraId="5B5E999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调研240余个牛肉饼，其蛋白质含量主要分布于（8-20）g/100g区间（图一）。调研生产企业提供的8个混合调制牛肉饼，蛋白质含量分布于（15-17）g/100区间（图二）。参考GB/T 20711-2022《熏煮火腿》、GB/T 23492-2022《培根质量通则》、SB/T 10279-2017《熏煮香肠》、QB/T 5442-2020《牛排》等标准，结合混合调制牛肉饼的原料多样性及非即食未熟制的特点，综合市场对营养品质的需求及企业实际生产情况，规定蛋白质含量应≥10g/100g。对于纯牛肉饼及纯调制牛肉饼，蛋白质含量是其主要原料鲜冻分割牛肉的固有成分特性，并且不同产地及部位的肉蛋白质含量并非完全一致，因此并不专门规定纯牛肉饼及纯调制牛肉饼的蛋白质含量。</w:t>
      </w:r>
    </w:p>
    <w:p w14:paraId="26F5E9B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pPr>
      <w:r>
        <w:drawing>
          <wp:anchor distT="0" distB="0" distL="114300" distR="114300" simplePos="0" relativeHeight="251660288" behindDoc="0" locked="0" layoutInCell="1" allowOverlap="1">
            <wp:simplePos x="0" y="0"/>
            <wp:positionH relativeFrom="column">
              <wp:posOffset>2774315</wp:posOffset>
            </wp:positionH>
            <wp:positionV relativeFrom="paragraph">
              <wp:posOffset>18415</wp:posOffset>
            </wp:positionV>
            <wp:extent cx="2911475" cy="2104390"/>
            <wp:effectExtent l="0" t="0" r="0" b="0"/>
            <wp:wrapNone/>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drawing>
          <wp:anchor distT="0" distB="0" distL="114300" distR="114300" simplePos="0" relativeHeight="251659264" behindDoc="0" locked="0" layoutInCell="1" allowOverlap="1">
            <wp:simplePos x="0" y="0"/>
            <wp:positionH relativeFrom="column">
              <wp:posOffset>-277495</wp:posOffset>
            </wp:positionH>
            <wp:positionV relativeFrom="paragraph">
              <wp:posOffset>45720</wp:posOffset>
            </wp:positionV>
            <wp:extent cx="2971165" cy="2093595"/>
            <wp:effectExtent l="0" t="0" r="0" b="0"/>
            <wp:wrapNone/>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14:paraId="6FFCD5D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p>
    <w:p w14:paraId="63EFC5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2073DD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7374F3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7AFA06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p>
    <w:p w14:paraId="108B3B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p>
    <w:p w14:paraId="631EE70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sz w:val="21"/>
          <w:szCs w:val="21"/>
          <w:lang w:val="en-US" w:eastAsia="zh-CN"/>
        </w:rPr>
      </w:pPr>
      <w:r>
        <w:rPr>
          <w:rFonts w:hint="eastAsia"/>
          <w:sz w:val="21"/>
          <w:szCs w:val="21"/>
          <w:lang w:val="en-US" w:eastAsia="zh-CN"/>
        </w:rPr>
        <w:t>图一                                      图二</w:t>
      </w:r>
    </w:p>
    <w:p w14:paraId="582249C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1"/>
          <w:szCs w:val="21"/>
          <w:lang w:val="en-US" w:eastAsia="zh-CN"/>
        </w:rPr>
      </w:pPr>
    </w:p>
    <w:p w14:paraId="145D0FA2">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混合调制牛肉饼的淀粉含量应≤3 g/100g，按GB 5009.9规定的方法测定。</w:t>
      </w:r>
    </w:p>
    <w:p w14:paraId="37C7E7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r>
        <w:rPr>
          <w:rFonts w:hint="eastAsia"/>
          <w:sz w:val="24"/>
          <w:szCs w:val="24"/>
          <w:lang w:val="en-US" w:eastAsia="zh-CN"/>
        </w:rPr>
        <w:t>调研13个混合调制牛肉饼，其淀粉含量主要分布于（0.2-1.5）g/100g区间（图三）。本文件参考GB/T 20711-2022《熏煮火腿》、GB/T 23492-2022《培根质量通则》、SB/T 10379-2012《速冻调制食品》、SB/T 10279-2017《熏煮香肠》、SB/T 10610-2011《肉丸》等标准，结合混合调制牛肉饼的原料多样性及非即食未熟制的特点，综合市场对营养品质的需求及企业实际生产情况，规定混合调制牛肉饼的淀粉含量应≤3 g/100g。根据本文件的定义及投料要求，纯牛肉饼及纯调制牛肉饼不应添加淀粉。</w:t>
      </w:r>
    </w:p>
    <w:p w14:paraId="2C8F8C7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pPr>
      <w:r>
        <w:drawing>
          <wp:inline distT="0" distB="0" distL="114300" distR="114300">
            <wp:extent cx="3729990" cy="2042795"/>
            <wp:effectExtent l="0" t="0" r="0" b="0"/>
            <wp:docPr id="1"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5DB888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t>图三</w:t>
      </w:r>
    </w:p>
    <w:p w14:paraId="3D372287">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纯牛肉饼及纯调制牛肉饼脂肪应≤30 g/100，按GB 5009.6规定的方法测定。    </w:t>
      </w:r>
    </w:p>
    <w:p w14:paraId="455E3F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纯牛肉饼及纯调制牛肉饼中牛肉占原料的绝大部分，经济价值较高，其脂肪含量是牛肉饼风味的关键组分，也是重要的质量指标，与产品成本密切相关。通过调研200余个牛肉饼的脂肪含量，脂肪含量均匀分布在（2-40）g/100g区间。结合企业生产配方及设计情况，本文件规定纯牛肉饼及纯调制牛肉饼脂肪≤30 g/100。</w:t>
      </w:r>
    </w:p>
    <w:p w14:paraId="5B8A21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混合调制牛肉饼中脂肪除来源于牛肉外，同时可能来源于蛋类、豆类、坚果等高油脂含量的原辅料，因此不专门规定混合调制牛肉饼的脂肪含量。</w:t>
      </w:r>
    </w:p>
    <w:p w14:paraId="2226EE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p>
    <w:p w14:paraId="4DCAEA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4255135" cy="2920365"/>
            <wp:effectExtent l="0" t="0" r="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0A1A4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r>
        <w:rPr>
          <w:rFonts w:hint="eastAsia"/>
          <w:lang w:val="en-US" w:eastAsia="zh-CN"/>
        </w:rPr>
        <w:t>图四</w:t>
      </w:r>
    </w:p>
    <w:p w14:paraId="69DB7F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p>
    <w:p w14:paraId="62270D63">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纯牛肉饼的水分含量≤77 g/100g，按GB5009.3规定的方法测定。</w:t>
      </w:r>
    </w:p>
    <w:p w14:paraId="1A5A5B0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r>
        <w:rPr>
          <w:rFonts w:hint="eastAsia"/>
          <w:sz w:val="24"/>
          <w:szCs w:val="24"/>
          <w:lang w:val="en-US" w:eastAsia="zh-CN"/>
        </w:rPr>
        <w:t xml:space="preserve">    本文件根据GB 18394-2020《畜禽肉水分限量》的要求，规定了纯牛肉饼的水费含量。</w:t>
      </w:r>
    </w:p>
    <w:p w14:paraId="6801BDC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纯牛肉饼的挥发性盐基氮含量≤13 g/100g，按GB 5009.228规定的方法测定。</w:t>
      </w:r>
    </w:p>
    <w:p w14:paraId="1DF4990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textAlignment w:val="auto"/>
        <w:rPr>
          <w:rFonts w:hint="eastAsia"/>
          <w:sz w:val="24"/>
          <w:szCs w:val="24"/>
          <w:lang w:val="en-US" w:eastAsia="zh-CN"/>
        </w:rPr>
      </w:pPr>
      <w:r>
        <w:rPr>
          <w:rFonts w:hint="eastAsia"/>
          <w:sz w:val="24"/>
          <w:szCs w:val="24"/>
          <w:lang w:val="en-US" w:eastAsia="zh-CN"/>
        </w:rPr>
        <w:t>挥发性盐基氮是鲜肉产品的重要新鲜度指标，GB 2707-2016《食品安全国家标准 鲜（冻）畜、禽产品》中规定挥发性盐基氮应≤15 g/100g。调研200余个牛肉饼样品，93%的样品挥发性盐基氮含量≤14.05 g/100g，82.7%的样品结果≤10.05 g/100g（图五图六）。调研生产企业提供的34个牛肉饼样品（保存周期1~11个月），97%的样品挥发性盐基氮含量＜13，88%的值＜10，82%的值＜8。</w:t>
      </w:r>
    </w:p>
    <w:p w14:paraId="59F8F5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纯牛肉饼是100%的鲜冻分割牛肉加工而成，其挥发性盐基氮数值越低，代表新鲜度越好、腐败程度越低，结合企业生产及产品的保质期、运输贮存等情况，本文件规定纯牛肉饼挥发性盐基氮≤13 g/100g，严于</w:t>
      </w:r>
      <w:r>
        <w:rPr>
          <w:rFonts w:hint="eastAsia"/>
          <w:sz w:val="24"/>
          <w:szCs w:val="24"/>
          <w:lang w:eastAsia="zh-CN"/>
        </w:rPr>
        <w:t>国家食品安全标准</w:t>
      </w:r>
      <w:r>
        <w:rPr>
          <w:rFonts w:hint="eastAsia"/>
          <w:sz w:val="24"/>
          <w:szCs w:val="24"/>
          <w:lang w:val="en-US" w:eastAsia="zh-CN"/>
        </w:rPr>
        <w:t>GB 2707-2016。</w:t>
      </w:r>
    </w:p>
    <w:p w14:paraId="221518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p>
    <w:p w14:paraId="05495A6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pPr>
      <w:r>
        <w:drawing>
          <wp:anchor distT="0" distB="0" distL="114300" distR="114300" simplePos="0" relativeHeight="251662336" behindDoc="0" locked="0" layoutInCell="1" allowOverlap="1">
            <wp:simplePos x="0" y="0"/>
            <wp:positionH relativeFrom="column">
              <wp:posOffset>2879090</wp:posOffset>
            </wp:positionH>
            <wp:positionV relativeFrom="paragraph">
              <wp:posOffset>243205</wp:posOffset>
            </wp:positionV>
            <wp:extent cx="2953385" cy="2193290"/>
            <wp:effectExtent l="0" t="0" r="5715" b="3810"/>
            <wp:wrapNone/>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8"/>
                    <a:stretch>
                      <a:fillRect/>
                    </a:stretch>
                  </pic:blipFill>
                  <pic:spPr>
                    <a:xfrm>
                      <a:off x="0" y="0"/>
                      <a:ext cx="2953385" cy="2193290"/>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column">
              <wp:posOffset>-471170</wp:posOffset>
            </wp:positionH>
            <wp:positionV relativeFrom="paragraph">
              <wp:posOffset>55880</wp:posOffset>
            </wp:positionV>
            <wp:extent cx="3161030" cy="2735580"/>
            <wp:effectExtent l="0" t="0" r="0" b="0"/>
            <wp:wrapNone/>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6500F4C4">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pPr>
    </w:p>
    <w:p w14:paraId="45AE1C9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pPr>
    </w:p>
    <w:p w14:paraId="49A1EB4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pPr>
    </w:p>
    <w:p w14:paraId="1AB7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pPr>
    </w:p>
    <w:p w14:paraId="5D78F1E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lang w:val="en-US" w:eastAsia="zh-CN"/>
        </w:rPr>
      </w:pPr>
    </w:p>
    <w:p w14:paraId="28FE6AF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p>
    <w:p w14:paraId="6B6425D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p>
    <w:p w14:paraId="660F0B3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p>
    <w:p w14:paraId="4115163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t>图五                                           图六</w:t>
      </w:r>
    </w:p>
    <w:p w14:paraId="05AEF6D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lang w:val="en-US" w:eastAsia="zh-CN"/>
        </w:rPr>
      </w:pPr>
    </w:p>
    <w:p w14:paraId="49C2F80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纯调制牛肉饼及混合调制牛肉饼的过氧化值（以脂肪计）应≤0.20g/100g。</w:t>
      </w:r>
    </w:p>
    <w:p w14:paraId="4DDD5C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过氧化值</w:t>
      </w:r>
      <w:r>
        <w:rPr>
          <w:rFonts w:hint="default"/>
          <w:sz w:val="24"/>
          <w:szCs w:val="24"/>
          <w:lang w:val="en-US" w:eastAsia="zh-CN"/>
        </w:rPr>
        <w:t>是</w:t>
      </w:r>
      <w:r>
        <w:rPr>
          <w:rFonts w:hint="eastAsia"/>
          <w:sz w:val="24"/>
          <w:szCs w:val="24"/>
          <w:lang w:val="en-US" w:eastAsia="zh-CN"/>
        </w:rPr>
        <w:t>速冻调制产品</w:t>
      </w:r>
      <w:r>
        <w:rPr>
          <w:rFonts w:hint="default"/>
          <w:sz w:val="24"/>
          <w:szCs w:val="24"/>
          <w:lang w:val="en-US" w:eastAsia="zh-CN"/>
        </w:rPr>
        <w:t>的重要新鲜度指标，</w:t>
      </w:r>
      <w:r>
        <w:rPr>
          <w:rFonts w:hint="eastAsia"/>
          <w:sz w:val="24"/>
          <w:szCs w:val="24"/>
          <w:lang w:val="en-US" w:eastAsia="zh-CN"/>
        </w:rPr>
        <w:t>GB 19295-2021 《食品安全国家标准 速冻米面与调制食品》</w:t>
      </w:r>
      <w:r>
        <w:rPr>
          <w:rFonts w:hint="default"/>
          <w:sz w:val="24"/>
          <w:szCs w:val="24"/>
          <w:lang w:val="en-US" w:eastAsia="zh-CN"/>
        </w:rPr>
        <w:t>、</w:t>
      </w:r>
      <w:r>
        <w:rPr>
          <w:rFonts w:hint="eastAsia"/>
          <w:sz w:val="24"/>
          <w:szCs w:val="24"/>
          <w:lang w:val="en-US" w:eastAsia="zh-CN"/>
        </w:rPr>
        <w:t>SB/T 10379-2012 《速冻调制食品》等标准均</w:t>
      </w:r>
      <w:r>
        <w:rPr>
          <w:rFonts w:hint="default"/>
          <w:sz w:val="24"/>
          <w:szCs w:val="24"/>
          <w:lang w:val="en-US" w:eastAsia="zh-CN"/>
        </w:rPr>
        <w:t>规定</w:t>
      </w:r>
      <w:r>
        <w:rPr>
          <w:rFonts w:hint="eastAsia"/>
          <w:sz w:val="24"/>
          <w:szCs w:val="24"/>
          <w:lang w:val="en-US" w:eastAsia="zh-CN"/>
        </w:rPr>
        <w:t>过氧化值（以脂肪计）应≤0.25 g/100g</w:t>
      </w:r>
      <w:r>
        <w:rPr>
          <w:rFonts w:hint="default"/>
          <w:sz w:val="24"/>
          <w:szCs w:val="24"/>
          <w:lang w:val="en-US" w:eastAsia="zh-CN"/>
        </w:rPr>
        <w:t>。</w:t>
      </w:r>
      <w:r>
        <w:rPr>
          <w:rFonts w:hint="eastAsia"/>
          <w:sz w:val="24"/>
          <w:szCs w:val="24"/>
          <w:lang w:val="en-US" w:eastAsia="zh-CN"/>
        </w:rPr>
        <w:t>调研200余个牛肉饼样品，</w:t>
      </w:r>
      <w:r>
        <w:rPr>
          <w:rFonts w:hint="default"/>
          <w:sz w:val="24"/>
          <w:szCs w:val="24"/>
          <w:lang w:val="en-US" w:eastAsia="zh-CN"/>
        </w:rPr>
        <w:t>过氧化值</w:t>
      </w:r>
      <w:r>
        <w:rPr>
          <w:rFonts w:hint="eastAsia"/>
          <w:sz w:val="24"/>
          <w:szCs w:val="24"/>
          <w:lang w:val="en-US" w:eastAsia="zh-CN"/>
        </w:rPr>
        <w:t>含量大部分在0.20</w:t>
      </w:r>
      <w:r>
        <w:rPr>
          <w:rFonts w:hint="default"/>
          <w:sz w:val="24"/>
          <w:szCs w:val="24"/>
          <w:lang w:val="en-US" w:eastAsia="zh-CN"/>
        </w:rPr>
        <w:t xml:space="preserve"> g/100g 以下</w:t>
      </w:r>
      <w:r>
        <w:rPr>
          <w:rFonts w:hint="eastAsia"/>
          <w:sz w:val="24"/>
          <w:szCs w:val="24"/>
          <w:lang w:val="en-US" w:eastAsia="zh-CN"/>
        </w:rPr>
        <w:t>。调研23个生牛肉饼产品，保存周期处于1~16个月，</w:t>
      </w:r>
      <w:r>
        <w:rPr>
          <w:rFonts w:hint="default"/>
          <w:sz w:val="24"/>
          <w:szCs w:val="24"/>
          <w:lang w:val="en-US" w:eastAsia="zh-CN"/>
        </w:rPr>
        <w:t>过氧化值</w:t>
      </w:r>
      <w:r>
        <w:rPr>
          <w:rFonts w:hint="eastAsia"/>
          <w:sz w:val="24"/>
          <w:szCs w:val="24"/>
          <w:lang w:val="en-US" w:eastAsia="zh-CN"/>
        </w:rPr>
        <w:t>含量均低于0.10</w:t>
      </w:r>
      <w:r>
        <w:rPr>
          <w:rFonts w:hint="default"/>
          <w:sz w:val="24"/>
          <w:szCs w:val="24"/>
          <w:lang w:val="en-US" w:eastAsia="zh-CN"/>
        </w:rPr>
        <w:t xml:space="preserve"> g/100</w:t>
      </w:r>
      <w:r>
        <w:rPr>
          <w:rFonts w:hint="eastAsia"/>
          <w:sz w:val="24"/>
          <w:szCs w:val="24"/>
          <w:lang w:val="en-US" w:eastAsia="zh-CN"/>
        </w:rPr>
        <w:t>g。</w:t>
      </w:r>
    </w:p>
    <w:p w14:paraId="77658B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结合企业生产及产品的保质期、运输贮存等情况，本文件规定纯调制牛肉饼及混合调制牛肉饼过氧化值（以脂肪计）应≤0.20g/100g，严于</w:t>
      </w:r>
      <w:r>
        <w:rPr>
          <w:rFonts w:hint="eastAsia"/>
          <w:sz w:val="24"/>
          <w:szCs w:val="24"/>
          <w:lang w:eastAsia="zh-CN"/>
        </w:rPr>
        <w:t>国家食品安全标准</w:t>
      </w:r>
      <w:r>
        <w:rPr>
          <w:rFonts w:hint="eastAsia"/>
          <w:sz w:val="24"/>
          <w:szCs w:val="24"/>
          <w:lang w:val="en-US" w:eastAsia="zh-CN"/>
        </w:rPr>
        <w:t>。</w:t>
      </w:r>
    </w:p>
    <w:p w14:paraId="61B571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4FF6DD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3918A8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4EB524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58501EA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textAlignment w:val="auto"/>
        <w:rPr>
          <w:rFonts w:hint="eastAsia"/>
          <w:sz w:val="24"/>
          <w:szCs w:val="24"/>
          <w:lang w:val="en-US" w:eastAsia="zh-CN"/>
        </w:rPr>
      </w:pPr>
      <w:r>
        <w:drawing>
          <wp:anchor distT="0" distB="0" distL="114300" distR="114300" simplePos="0" relativeHeight="251663360" behindDoc="0" locked="0" layoutInCell="1" allowOverlap="1">
            <wp:simplePos x="0" y="0"/>
            <wp:positionH relativeFrom="column">
              <wp:posOffset>-625475</wp:posOffset>
            </wp:positionH>
            <wp:positionV relativeFrom="paragraph">
              <wp:posOffset>67310</wp:posOffset>
            </wp:positionV>
            <wp:extent cx="3432175" cy="2531745"/>
            <wp:effectExtent l="0" t="0" r="0" b="0"/>
            <wp:wrapNone/>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drawing>
          <wp:anchor distT="0" distB="0" distL="114300" distR="114300" simplePos="0" relativeHeight="251664384" behindDoc="0" locked="0" layoutInCell="1" allowOverlap="1">
            <wp:simplePos x="0" y="0"/>
            <wp:positionH relativeFrom="column">
              <wp:posOffset>2639695</wp:posOffset>
            </wp:positionH>
            <wp:positionV relativeFrom="paragraph">
              <wp:posOffset>93345</wp:posOffset>
            </wp:positionV>
            <wp:extent cx="3445510" cy="2301875"/>
            <wp:effectExtent l="0" t="0" r="0" b="0"/>
            <wp:wrapNone/>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6F0B39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sz w:val="24"/>
          <w:szCs w:val="24"/>
          <w:lang w:val="en-US" w:eastAsia="zh-CN"/>
        </w:rPr>
      </w:pPr>
    </w:p>
    <w:p w14:paraId="6FB9AD1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18DB363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681C491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2952A5F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181ECF6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p>
    <w:p w14:paraId="1481F29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sz w:val="24"/>
          <w:szCs w:val="24"/>
          <w:lang w:val="en-US" w:eastAsia="zh-CN"/>
        </w:rPr>
      </w:pPr>
    </w:p>
    <w:p w14:paraId="6D83005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sz w:val="20"/>
          <w:szCs w:val="20"/>
          <w:lang w:val="en-US" w:eastAsia="zh-CN"/>
        </w:rPr>
      </w:pPr>
      <w:r>
        <w:rPr>
          <w:rFonts w:hint="eastAsia"/>
          <w:sz w:val="20"/>
          <w:szCs w:val="20"/>
          <w:lang w:val="en-US" w:eastAsia="zh-CN"/>
        </w:rPr>
        <w:t>图七                                         图八</w:t>
      </w:r>
    </w:p>
    <w:p w14:paraId="5634AAAD">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sz w:val="20"/>
          <w:szCs w:val="20"/>
          <w:lang w:val="en-US" w:eastAsia="zh-CN"/>
        </w:rPr>
      </w:pPr>
    </w:p>
    <w:p w14:paraId="7C2D3800">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污染物限量应符合GB 2762的规定。</w:t>
      </w:r>
    </w:p>
    <w:p w14:paraId="57449CC4">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调制牛肉饼的食品添加剂使用应符合GB 2760的规定。</w:t>
      </w:r>
    </w:p>
    <w:p w14:paraId="4FD4CA9C">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农兽药残留应符合GB 2763及有关标准和法律的规定。</w:t>
      </w:r>
    </w:p>
    <w:p w14:paraId="0F42FDE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净含量应符合《定量包装商品计量监督管理办法》和 JJF 1070 的规定。</w:t>
      </w:r>
    </w:p>
    <w:p w14:paraId="155C95BD">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default"/>
          <w:sz w:val="24"/>
          <w:szCs w:val="24"/>
          <w:lang w:val="en-US" w:eastAsia="zh-CN"/>
        </w:rPr>
        <w:t>生产加工过程中的卫生要求应符合GB 14881和GB 31646 的规定</w:t>
      </w:r>
      <w:r>
        <w:rPr>
          <w:rFonts w:hint="eastAsia"/>
          <w:sz w:val="24"/>
          <w:szCs w:val="24"/>
          <w:lang w:val="en-US" w:eastAsia="zh-CN"/>
        </w:rPr>
        <w:t>。</w:t>
      </w:r>
    </w:p>
    <w:p w14:paraId="0A179C07">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根据</w:t>
      </w:r>
      <w:r>
        <w:rPr>
          <w:rFonts w:hint="default"/>
          <w:sz w:val="24"/>
          <w:szCs w:val="24"/>
          <w:lang w:val="en-US" w:eastAsia="zh-CN"/>
        </w:rPr>
        <w:t>GB 19295-2021</w:t>
      </w:r>
      <w:r>
        <w:rPr>
          <w:rFonts w:hint="eastAsia"/>
          <w:sz w:val="24"/>
          <w:szCs w:val="24"/>
          <w:lang w:val="en-US" w:eastAsia="zh-CN"/>
        </w:rPr>
        <w:t>及GB 29921的规定，速冻非即食肉制品无微生物限量要求。生牛肉饼产品均为非即食的肉制品，需要熟制后食用，因此不做微生物限量要求。</w:t>
      </w:r>
    </w:p>
    <w:p w14:paraId="2865107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2.6 检验规则、标签、标志、包装、运输、贮存和销售要求</w:t>
      </w:r>
    </w:p>
    <w:p w14:paraId="5F147E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textAlignment w:val="auto"/>
        <w:rPr>
          <w:rFonts w:hint="eastAsia"/>
          <w:sz w:val="24"/>
          <w:szCs w:val="24"/>
          <w:lang w:val="en-US" w:eastAsia="zh-CN"/>
        </w:rPr>
      </w:pPr>
      <w:r>
        <w:rPr>
          <w:rFonts w:hint="eastAsia"/>
          <w:sz w:val="24"/>
          <w:szCs w:val="24"/>
          <w:lang w:val="en-US" w:eastAsia="zh-CN"/>
        </w:rPr>
        <w:t>参考现行标准，结合生牛肉饼产品特性及生产工艺编写。</w:t>
      </w:r>
    </w:p>
    <w:p w14:paraId="12F2A93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sz w:val="24"/>
          <w:szCs w:val="24"/>
          <w:lang w:val="en-US" w:eastAsia="zh-CN"/>
        </w:rPr>
      </w:pPr>
      <w:r>
        <w:rPr>
          <w:rFonts w:hint="eastAsia"/>
          <w:sz w:val="24"/>
          <w:szCs w:val="24"/>
          <w:lang w:val="en-US" w:eastAsia="zh-CN"/>
        </w:rPr>
        <w:t>2.7 附录A主料在终产品净含量中质量分数的计算方法</w:t>
      </w:r>
    </w:p>
    <w:p w14:paraId="7B9AB935">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szCs w:val="24"/>
          <w:lang w:val="en-US" w:eastAsia="zh-CN"/>
        </w:rPr>
      </w:pPr>
      <w:r>
        <w:rPr>
          <w:rFonts w:hint="eastAsia"/>
          <w:sz w:val="24"/>
          <w:szCs w:val="24"/>
          <w:lang w:val="en-US" w:eastAsia="zh-CN"/>
        </w:rPr>
        <w:t xml:space="preserve">    参考SB/T 10379-2012《速冻调制食品》的计算方式，结合生牛肉饼产品特性，编写了主料在终产品净含量中质量分数的计算方法。</w:t>
      </w:r>
    </w:p>
    <w:p w14:paraId="179B3D68">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如果是修订标准，应增列新旧标准水平的对比；</w:t>
      </w:r>
    </w:p>
    <w:p w14:paraId="4E3AED9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r>
        <w:rPr>
          <w:rFonts w:hint="eastAsia"/>
          <w:sz w:val="24"/>
          <w:szCs w:val="24"/>
          <w:lang w:val="en-US" w:eastAsia="zh-CN"/>
        </w:rPr>
        <w:t>本文件为首次制定。</w:t>
      </w:r>
    </w:p>
    <w:p w14:paraId="160962E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预期的经济效果</w:t>
      </w:r>
    </w:p>
    <w:p w14:paraId="50D5DBB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textAlignment w:val="auto"/>
        <w:rPr>
          <w:rFonts w:hint="eastAsia"/>
          <w:sz w:val="24"/>
          <w:szCs w:val="24"/>
          <w:lang w:val="en-US" w:eastAsia="zh-CN"/>
        </w:rPr>
      </w:pPr>
      <w:r>
        <w:rPr>
          <w:rFonts w:hint="eastAsia"/>
          <w:sz w:val="24"/>
          <w:szCs w:val="24"/>
          <w:lang w:val="en-US" w:eastAsia="zh-CN"/>
        </w:rPr>
        <w:t>本文件填补了生牛肉饼产品标准的空白，解决了该产品类别标准缺失问题。编制完成后，经有关企业验证，其生产的生牛肉饼具备安全、营养、高质量的特点，指标先进，有助于产品品质的提升。</w:t>
      </w:r>
    </w:p>
    <w:p w14:paraId="36ABA8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textAlignment w:val="auto"/>
        <w:rPr>
          <w:rFonts w:hint="eastAsia"/>
          <w:sz w:val="24"/>
          <w:szCs w:val="24"/>
          <w:lang w:val="en-US" w:eastAsia="zh-CN"/>
        </w:rPr>
      </w:pPr>
      <w:r>
        <w:rPr>
          <w:rFonts w:hint="eastAsia"/>
          <w:sz w:val="24"/>
          <w:szCs w:val="24"/>
          <w:lang w:val="en-US" w:eastAsia="zh-CN"/>
        </w:rPr>
        <w:t>本文件发布后，为产品的配方设计、生产、销售、检验及贸易提供统一的技术依据，体现了消费市场对营养品质、健康生活的美好追求和向往，为今后行业调整和优化打下了基础，为行业的健康发展给予了有利的技术支撑。</w:t>
      </w:r>
    </w:p>
    <w:p w14:paraId="444DB11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textAlignment w:val="auto"/>
        <w:rPr>
          <w:rFonts w:hint="default"/>
          <w:sz w:val="24"/>
          <w:szCs w:val="24"/>
          <w:lang w:val="en-US" w:eastAsia="zh-CN"/>
        </w:rPr>
      </w:pPr>
      <w:r>
        <w:rPr>
          <w:rFonts w:hint="eastAsia"/>
          <w:sz w:val="24"/>
          <w:szCs w:val="24"/>
          <w:lang w:val="en-US" w:eastAsia="zh-CN"/>
        </w:rPr>
        <w:t>本文件实施后，为生牛肉饼产品的质检、商检提供了统一的技术依据，促进产品向更高端领域进行研发和升级，保障市场正常秩序，消除贸易技术壁垒，初级国际贸易开展，均起到积极的推动作用。</w:t>
      </w:r>
    </w:p>
    <w:p w14:paraId="584A557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是否填补标准空白；</w:t>
      </w:r>
    </w:p>
    <w:p w14:paraId="6BD2D5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是，目前我国尚没有关于生牛肉饼的国家标准、行业标准、地方标准或团体标准，本</w:t>
      </w:r>
      <w:r>
        <w:rPr>
          <w:rFonts w:hint="eastAsia"/>
          <w:sz w:val="24"/>
          <w:szCs w:val="24"/>
          <w:lang w:val="en-US" w:eastAsia="zh-CN"/>
        </w:rPr>
        <w:t>文件</w:t>
      </w:r>
      <w:r>
        <w:rPr>
          <w:rFonts w:hint="eastAsia"/>
          <w:sz w:val="24"/>
          <w:szCs w:val="24"/>
          <w:lang w:eastAsia="zh-CN"/>
        </w:rPr>
        <w:t>将填补相关领域空白。</w:t>
      </w:r>
    </w:p>
    <w:p w14:paraId="71BE66C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采用国际标准的程度；</w:t>
      </w:r>
    </w:p>
    <w:p w14:paraId="26C80A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本</w:t>
      </w:r>
      <w:r>
        <w:rPr>
          <w:rFonts w:hint="eastAsia"/>
          <w:sz w:val="24"/>
          <w:szCs w:val="24"/>
          <w:lang w:val="en-US" w:eastAsia="zh-CN"/>
        </w:rPr>
        <w:t>文件</w:t>
      </w:r>
      <w:r>
        <w:rPr>
          <w:rFonts w:hint="eastAsia"/>
          <w:sz w:val="24"/>
          <w:szCs w:val="24"/>
          <w:lang w:eastAsia="zh-CN"/>
        </w:rPr>
        <w:t>制定过程中</w:t>
      </w:r>
      <w:r>
        <w:rPr>
          <w:rFonts w:hint="eastAsia"/>
          <w:sz w:val="24"/>
          <w:szCs w:val="24"/>
          <w:lang w:val="en-US" w:eastAsia="zh-CN"/>
        </w:rPr>
        <w:t>未检索到</w:t>
      </w:r>
      <w:r>
        <w:rPr>
          <w:rFonts w:hint="eastAsia"/>
          <w:sz w:val="24"/>
          <w:szCs w:val="24"/>
          <w:lang w:eastAsia="zh-CN"/>
        </w:rPr>
        <w:t>同类国际、国外标准。</w:t>
      </w:r>
    </w:p>
    <w:p w14:paraId="0622F9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bookmarkStart w:id="0" w:name="OLE_LINK1"/>
      <w:r>
        <w:rPr>
          <w:rFonts w:hint="eastAsia"/>
          <w:sz w:val="24"/>
          <w:szCs w:val="24"/>
          <w:lang w:val="en-US" w:eastAsia="zh-CN"/>
        </w:rPr>
        <w:t>生牛肉饼在国外主要以“Burger”的形式出现。英国Business Companion</w:t>
      </w:r>
      <w:bookmarkEnd w:id="0"/>
      <w:r>
        <w:rPr>
          <w:rFonts w:hint="eastAsia"/>
          <w:sz w:val="24"/>
          <w:szCs w:val="24"/>
          <w:lang w:val="en-US" w:eastAsia="zh-CN"/>
        </w:rPr>
        <w:t>对于“Burger”产品通常规定了一般性食品要求如标签、卫生、添加剂、污染物等，以及肉的种类和含量、是否含有机械分离肉、是否合成肉等；其中肉含量的要求如经济性汉堡中牛肉或牛肉混合肉应≥47%、汉堡中的牛肉或牛肉混合肉应≥62%；而“肉”被定义为“被认为适合人类食用的哺乳动物或鸟类的骨骼肌，具有天然内含或粘附的组织（脂肪和结缔组织）”，机械分离的肉和心、舌头等都不是肉，同时允许使用一定量的脂肪（25%）和结缔组织（25%）；另外，对于不含添加剂或其他成分的碎牛肉等原料也属于“肉”而不是“含肉产品”。同时查询到非洲内陆国家马拉维（Malawi）对“Meat Burger”产品要求包括：肉含量不低于65%、盐分糖分合计不得超过4%、总脂肪不得超过30%、灰分最大3%等等。</w:t>
      </w:r>
    </w:p>
    <w:p w14:paraId="6F2AE29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r>
        <w:rPr>
          <w:rFonts w:hint="eastAsia"/>
          <w:sz w:val="24"/>
          <w:szCs w:val="24"/>
          <w:lang w:val="en-US" w:eastAsia="zh-CN"/>
        </w:rPr>
        <w:t>本文件规定的“调制牛肉饼”及“纯牛肉饼”与上述国外标准具有一定的对应关系，在肉类原料来源上具有一致的理解，且仅使用单一的鲜冻分割牛肉作为唯一肉源，并且肉含量的要求也远高于上述国外标准。本文件规定的牛肉饼符合西方对“Burger”类肉饼的传统文化理解与要求，同时结合了我国牛肉饼的创新需求和市场消费趋势，对混合牛肉饼做出了规定。本文件具有国际先进性。</w:t>
      </w:r>
    </w:p>
    <w:p w14:paraId="5F6D62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本</w:t>
      </w:r>
      <w:r>
        <w:rPr>
          <w:rFonts w:hint="eastAsia"/>
          <w:sz w:val="24"/>
          <w:szCs w:val="24"/>
          <w:lang w:val="en-US" w:eastAsia="zh-CN"/>
        </w:rPr>
        <w:t>文件</w:t>
      </w:r>
      <w:r>
        <w:rPr>
          <w:rFonts w:hint="eastAsia"/>
          <w:sz w:val="24"/>
          <w:szCs w:val="24"/>
          <w:lang w:eastAsia="zh-CN"/>
        </w:rPr>
        <w:t>未采用国际标准和国外先进标准。</w:t>
      </w:r>
    </w:p>
    <w:p w14:paraId="03DCFC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z w:val="24"/>
          <w:szCs w:val="24"/>
          <w:lang w:eastAsia="zh-CN"/>
        </w:rPr>
      </w:pPr>
      <w:r>
        <w:rPr>
          <w:rFonts w:hint="eastAsia"/>
          <w:sz w:val="24"/>
          <w:szCs w:val="24"/>
          <w:lang w:eastAsia="zh-CN"/>
        </w:rPr>
        <w:t>本</w:t>
      </w:r>
      <w:r>
        <w:rPr>
          <w:rFonts w:hint="eastAsia"/>
          <w:sz w:val="24"/>
          <w:szCs w:val="24"/>
          <w:lang w:val="en-US" w:eastAsia="zh-CN"/>
        </w:rPr>
        <w:t>文件</w:t>
      </w:r>
      <w:r>
        <w:rPr>
          <w:rFonts w:hint="eastAsia"/>
          <w:sz w:val="24"/>
          <w:szCs w:val="24"/>
          <w:lang w:eastAsia="zh-CN"/>
        </w:rPr>
        <w:t>为国内先进水平。</w:t>
      </w:r>
      <w:bookmarkStart w:id="1" w:name="_GoBack"/>
      <w:bookmarkEnd w:id="1"/>
    </w:p>
    <w:p w14:paraId="64ED330B">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与有关的现行法律、法规的关系；</w:t>
      </w:r>
    </w:p>
    <w:p w14:paraId="19161F7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w:t>
      </w:r>
      <w:r>
        <w:rPr>
          <w:rFonts w:hint="eastAsia"/>
          <w:sz w:val="24"/>
          <w:szCs w:val="24"/>
          <w:lang w:eastAsia="zh-CN"/>
        </w:rPr>
        <w:t>本</w:t>
      </w:r>
      <w:r>
        <w:rPr>
          <w:rFonts w:hint="eastAsia"/>
          <w:sz w:val="24"/>
          <w:szCs w:val="24"/>
          <w:lang w:val="en-US" w:eastAsia="zh-CN"/>
        </w:rPr>
        <w:t>文件遵循我国相关的法律、法规的要求，与我国强制性国家标准协调一致，不存在冲突与矛盾。</w:t>
      </w:r>
    </w:p>
    <w:p w14:paraId="04F8DF7D">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技术要求不低于强制性国家标准相关要求的说明；</w:t>
      </w:r>
    </w:p>
    <w:p w14:paraId="63178E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本文件的各项指标均不低于中强制性国家标准相关要求，其中产品的水分含量及安全指标等与食品安全国家标准保持一致，挥发性盐基氮≤13 g/100g严于</w:t>
      </w:r>
      <w:r>
        <w:rPr>
          <w:rFonts w:hint="eastAsia"/>
          <w:sz w:val="24"/>
          <w:szCs w:val="24"/>
          <w:lang w:eastAsia="zh-CN"/>
        </w:rPr>
        <w:t>国家食品安全标准</w:t>
      </w:r>
      <w:r>
        <w:rPr>
          <w:rFonts w:hint="eastAsia"/>
          <w:sz w:val="24"/>
          <w:szCs w:val="24"/>
          <w:lang w:val="en-US" w:eastAsia="zh-CN"/>
        </w:rPr>
        <w:t>GB 2707-2016规定的15 g/100g；过氧化值（以脂肪计）≤0.20g/100g严于国家食品安全标准</w:t>
      </w:r>
      <w:r>
        <w:rPr>
          <w:rFonts w:hint="default"/>
          <w:sz w:val="24"/>
          <w:szCs w:val="24"/>
          <w:lang w:val="en-US" w:eastAsia="zh-CN"/>
        </w:rPr>
        <w:t>GB 19295-2021</w:t>
      </w:r>
      <w:r>
        <w:rPr>
          <w:rFonts w:hint="eastAsia"/>
          <w:sz w:val="24"/>
          <w:szCs w:val="24"/>
          <w:lang w:val="en-US" w:eastAsia="zh-CN"/>
        </w:rPr>
        <w:t>规定的≤0.25g/100g。</w:t>
      </w:r>
    </w:p>
    <w:p w14:paraId="666F03A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技术要求高于推荐性标准相关要求的情况；</w:t>
      </w:r>
    </w:p>
    <w:p w14:paraId="7709AE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default"/>
          <w:sz w:val="24"/>
          <w:szCs w:val="24"/>
          <w:lang w:val="en-US" w:eastAsia="zh-CN"/>
        </w:rPr>
      </w:pPr>
      <w:r>
        <w:rPr>
          <w:rFonts w:hint="eastAsia"/>
          <w:sz w:val="24"/>
          <w:szCs w:val="24"/>
          <w:lang w:val="en-US" w:eastAsia="zh-CN"/>
        </w:rPr>
        <w:t xml:space="preserve">    过氧化值（以脂肪计）≤0.20g/100g严于推荐性标准</w:t>
      </w:r>
      <w:r>
        <w:rPr>
          <w:rFonts w:hint="default"/>
          <w:sz w:val="24"/>
          <w:szCs w:val="24"/>
          <w:lang w:val="en-US" w:eastAsia="zh-CN"/>
        </w:rPr>
        <w:t>SB/T 10379-2012</w:t>
      </w:r>
      <w:r>
        <w:rPr>
          <w:rFonts w:hint="eastAsia"/>
          <w:sz w:val="24"/>
          <w:szCs w:val="24"/>
          <w:lang w:val="en-US" w:eastAsia="zh-CN"/>
        </w:rPr>
        <w:t xml:space="preserve">《速冻调制食品》的规定；淀粉含量≤3 g/100g高于推荐性标准SB/T 10279-2017《熏煮香肠》的优级和普通级的规定，与特级保持持平。 </w:t>
      </w:r>
    </w:p>
    <w:p w14:paraId="4BE4D96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其他应予说明的事项</w:t>
      </w:r>
    </w:p>
    <w:p w14:paraId="3C6346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z w:val="24"/>
          <w:szCs w:val="24"/>
          <w:lang w:val="en-US" w:eastAsia="zh-CN"/>
        </w:rPr>
      </w:pPr>
      <w:r>
        <w:rPr>
          <w:rFonts w:hint="eastAsia"/>
          <w:sz w:val="24"/>
          <w:szCs w:val="24"/>
          <w:lang w:val="en-US" w:eastAsia="zh-CN"/>
        </w:rPr>
        <w:t>无。</w:t>
      </w:r>
    </w:p>
    <w:p w14:paraId="6A9566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lang w:eastAsia="zh-CN"/>
        </w:rPr>
      </w:pPr>
    </w:p>
    <w:p w14:paraId="6398BC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right"/>
        <w:textAlignment w:val="auto"/>
        <w:rPr>
          <w:rFonts w:hint="eastAsia"/>
          <w:sz w:val="24"/>
          <w:szCs w:val="24"/>
          <w:lang w:val="en-US" w:eastAsia="zh-CN"/>
        </w:rPr>
      </w:pPr>
      <w:r>
        <w:rPr>
          <w:rFonts w:hint="eastAsia"/>
          <w:sz w:val="24"/>
          <w:szCs w:val="24"/>
          <w:lang w:eastAsia="zh-CN"/>
        </w:rPr>
        <w:t>《</w:t>
      </w:r>
      <w:r>
        <w:rPr>
          <w:rFonts w:hint="eastAsia"/>
          <w:sz w:val="24"/>
          <w:szCs w:val="24"/>
          <w:lang w:val="en-US" w:eastAsia="zh-CN"/>
        </w:rPr>
        <w:t>生牛肉饼</w:t>
      </w:r>
      <w:r>
        <w:rPr>
          <w:rFonts w:hint="eastAsia"/>
          <w:sz w:val="24"/>
          <w:szCs w:val="24"/>
          <w:lang w:eastAsia="zh-CN"/>
        </w:rPr>
        <w:t>》</w:t>
      </w:r>
      <w:r>
        <w:rPr>
          <w:rFonts w:hint="eastAsia"/>
          <w:sz w:val="24"/>
          <w:szCs w:val="24"/>
          <w:lang w:val="en-US" w:eastAsia="zh-CN"/>
        </w:rPr>
        <w:t>起草组</w:t>
      </w:r>
    </w:p>
    <w:p w14:paraId="78CADB9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right"/>
        <w:textAlignment w:val="auto"/>
        <w:rPr>
          <w:rFonts w:hint="default"/>
          <w:sz w:val="24"/>
          <w:szCs w:val="24"/>
          <w:lang w:val="en-US" w:eastAsia="zh-CN"/>
        </w:rPr>
      </w:pPr>
      <w:r>
        <w:rPr>
          <w:rFonts w:hint="eastAsia"/>
          <w:sz w:val="24"/>
          <w:szCs w:val="24"/>
          <w:lang w:val="en-US" w:eastAsia="zh-CN"/>
        </w:rPr>
        <w:t>2024年07月22日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20EE97"/>
    <w:multiLevelType w:val="singleLevel"/>
    <w:tmpl w:val="B220EE97"/>
    <w:lvl w:ilvl="0" w:tentative="0">
      <w:start w:val="1"/>
      <w:numFmt w:val="decimal"/>
      <w:suff w:val="nothing"/>
      <w:lvlText w:val="%1）"/>
      <w:lvlJc w:val="left"/>
    </w:lvl>
  </w:abstractNum>
  <w:abstractNum w:abstractNumId="1">
    <w:nsid w:val="E0E8F755"/>
    <w:multiLevelType w:val="singleLevel"/>
    <w:tmpl w:val="E0E8F755"/>
    <w:lvl w:ilvl="0" w:tentative="0">
      <w:start w:val="1"/>
      <w:numFmt w:val="chineseCounting"/>
      <w:suff w:val="nothing"/>
      <w:lvlText w:val="（%1）"/>
      <w:lvlJc w:val="left"/>
      <w:rPr>
        <w:rFonts w:hint="eastAsia"/>
      </w:rPr>
    </w:lvl>
  </w:abstractNum>
  <w:abstractNum w:abstractNumId="2">
    <w:nsid w:val="3A7F9C68"/>
    <w:multiLevelType w:val="singleLevel"/>
    <w:tmpl w:val="3A7F9C68"/>
    <w:lvl w:ilvl="0" w:tentative="0">
      <w:start w:val="1"/>
      <w:numFmt w:val="decimal"/>
      <w:suff w:val="nothing"/>
      <w:lvlText w:val="%1、"/>
      <w:lvlJc w:val="left"/>
    </w:lvl>
  </w:abstractNum>
  <w:abstractNum w:abstractNumId="3">
    <w:nsid w:val="5C909532"/>
    <w:multiLevelType w:val="singleLevel"/>
    <w:tmpl w:val="5C909532"/>
    <w:lvl w:ilvl="0" w:tentative="0">
      <w:start w:val="1"/>
      <w:numFmt w:val="decimal"/>
      <w:suff w:val="nothing"/>
      <w:lvlText w:val="%1、"/>
      <w:lvlJc w:val="left"/>
    </w:lvl>
  </w:abstractNum>
  <w:abstractNum w:abstractNumId="4">
    <w:nsid w:val="6521633F"/>
    <w:multiLevelType w:val="singleLevel"/>
    <w:tmpl w:val="6521633F"/>
    <w:lvl w:ilvl="0" w:tentative="0">
      <w:start w:val="1"/>
      <w:numFmt w:val="decimal"/>
      <w:suff w:val="space"/>
      <w:lvlText w:val="%1）"/>
      <w:lvlJc w:val="left"/>
    </w:lvl>
  </w:abstractNum>
  <w:abstractNum w:abstractNumId="5">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7"/>
      <w:suff w:val="nothing"/>
      <w:lvlText w:val="%1%2　"/>
      <w:lvlJc w:val="left"/>
      <w:pPr>
        <w:ind w:left="709" w:firstLine="0"/>
      </w:pPr>
      <w:rPr>
        <w:rFonts w:hint="eastAsia" w:ascii="黑体" w:eastAsia="黑体"/>
        <w:b w:val="0"/>
        <w:i w:val="0"/>
        <w:sz w:val="21"/>
      </w:rPr>
    </w:lvl>
    <w:lvl w:ilvl="2" w:tentative="0">
      <w:start w:val="1"/>
      <w:numFmt w:val="decimal"/>
      <w:pStyle w:val="10"/>
      <w:suff w:val="nothing"/>
      <w:lvlText w:val="%1%2.%3　"/>
      <w:lvlJc w:val="left"/>
      <w:pPr>
        <w:ind w:left="426"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13"/>
      <w:suff w:val="nothing"/>
      <w:lvlText w:val="%1%2.%3.%4　"/>
      <w:lvlJc w:val="left"/>
      <w:pPr>
        <w:ind w:left="568" w:firstLine="0"/>
      </w:pPr>
      <w:rPr>
        <w:rFonts w:hint="eastAsia" w:ascii="黑体" w:eastAsia="黑体"/>
        <w:b w:val="0"/>
        <w:i w:val="0"/>
        <w:sz w:val="21"/>
      </w:rPr>
    </w:lvl>
    <w:lvl w:ilvl="4" w:tentative="0">
      <w:start w:val="1"/>
      <w:numFmt w:val="decimal"/>
      <w:pStyle w:val="12"/>
      <w:suff w:val="nothing"/>
      <w:lvlText w:val="%1%2.%3.%4.%5　"/>
      <w:lvlJc w:val="left"/>
      <w:pPr>
        <w:ind w:left="709"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mZGY5ZjhjNGQ1NzY1MTU4NGQ5ZTNhNjU5NThlM2IifQ=="/>
  </w:docVars>
  <w:rsids>
    <w:rsidRoot w:val="00000000"/>
    <w:rsid w:val="05AB0C36"/>
    <w:rsid w:val="0FA7156B"/>
    <w:rsid w:val="1288550F"/>
    <w:rsid w:val="1B3432F5"/>
    <w:rsid w:val="1C597F1C"/>
    <w:rsid w:val="22BB36DF"/>
    <w:rsid w:val="250D401D"/>
    <w:rsid w:val="2B870602"/>
    <w:rsid w:val="4E5F0613"/>
    <w:rsid w:val="5A551748"/>
    <w:rsid w:val="783A0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autoRedefine/>
    <w:qFormat/>
    <w:uiPriority w:val="34"/>
    <w:pPr>
      <w:ind w:firstLine="420" w:firstLineChars="200"/>
    </w:pPr>
  </w:style>
  <w:style w:type="paragraph" w:customStyle="1" w:styleId="6">
    <w:name w:val="段"/>
    <w:autoRedefine/>
    <w:qFormat/>
    <w:uiPriority w:val="99"/>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 w:type="paragraph" w:customStyle="1" w:styleId="7">
    <w:name w:val="标准文件_章标题"/>
    <w:next w:val="8"/>
    <w:autoRedefine/>
    <w:qFormat/>
    <w:uiPriority w:val="0"/>
    <w:pPr>
      <w:numPr>
        <w:ilvl w:val="1"/>
        <w:numId w:val="1"/>
      </w:numPr>
      <w:spacing w:before="240" w:beforeLines="100" w:after="240" w:afterLines="100"/>
      <w:ind w:left="0"/>
      <w:jc w:val="both"/>
      <w:outlineLvl w:val="0"/>
    </w:pPr>
    <w:rPr>
      <w:rFonts w:ascii="黑体" w:hAnsi="Times New Roman" w:eastAsia="黑体" w:cs="Times New Roman"/>
      <w:sz w:val="21"/>
      <w:lang w:val="en-US" w:eastAsia="zh-CN" w:bidi="ar-SA"/>
    </w:rPr>
  </w:style>
  <w:style w:type="paragraph" w:customStyle="1" w:styleId="8">
    <w:name w:val="标准文件_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9">
    <w:name w:val="标准文件_一级无标题"/>
    <w:basedOn w:val="10"/>
    <w:autoRedefine/>
    <w:qFormat/>
    <w:uiPriority w:val="0"/>
    <w:pPr>
      <w:spacing w:before="0" w:beforeLines="0" w:after="0" w:afterLines="0"/>
      <w:outlineLvl w:val="9"/>
    </w:pPr>
    <w:rPr>
      <w:rFonts w:ascii="宋体" w:eastAsia="宋体"/>
    </w:rPr>
  </w:style>
  <w:style w:type="paragraph" w:customStyle="1" w:styleId="10">
    <w:name w:val="标准文件_一级条标题"/>
    <w:basedOn w:val="7"/>
    <w:next w:val="8"/>
    <w:autoRedefine/>
    <w:qFormat/>
    <w:uiPriority w:val="0"/>
    <w:pPr>
      <w:numPr>
        <w:ilvl w:val="2"/>
      </w:numPr>
      <w:spacing w:before="120" w:beforeLines="50" w:after="120" w:afterLines="50"/>
      <w:ind w:left="0"/>
      <w:outlineLvl w:val="1"/>
    </w:pPr>
  </w:style>
  <w:style w:type="paragraph" w:customStyle="1" w:styleId="11">
    <w:name w:val="标准文件_三级无标题"/>
    <w:basedOn w:val="12"/>
    <w:autoRedefine/>
    <w:qFormat/>
    <w:uiPriority w:val="0"/>
    <w:pPr>
      <w:numPr>
        <w:ilvl w:val="0"/>
        <w:numId w:val="0"/>
      </w:numPr>
      <w:spacing w:before="0" w:beforeLines="0" w:after="0" w:afterLines="0"/>
      <w:outlineLvl w:val="9"/>
    </w:pPr>
    <w:rPr>
      <w:rFonts w:ascii="宋体" w:eastAsia="宋体"/>
    </w:rPr>
  </w:style>
  <w:style w:type="paragraph" w:customStyle="1" w:styleId="12">
    <w:name w:val="标准文件_三级条标题"/>
    <w:basedOn w:val="13"/>
    <w:next w:val="8"/>
    <w:autoRedefine/>
    <w:qFormat/>
    <w:uiPriority w:val="0"/>
    <w:pPr>
      <w:widowControl/>
      <w:numPr>
        <w:ilvl w:val="4"/>
      </w:numPr>
      <w:outlineLvl w:val="3"/>
    </w:pPr>
  </w:style>
  <w:style w:type="paragraph" w:customStyle="1" w:styleId="13">
    <w:name w:val="标准文件_二级条标题"/>
    <w:next w:val="8"/>
    <w:autoRedefine/>
    <w:qFormat/>
    <w:uiPriority w:val="0"/>
    <w:pPr>
      <w:widowControl w:val="0"/>
      <w:numPr>
        <w:ilvl w:val="3"/>
        <w:numId w:val="1"/>
      </w:numPr>
      <w:spacing w:before="120" w:beforeLines="50" w:after="120" w:afterLines="50"/>
      <w:ind w:left="0"/>
      <w:jc w:val="both"/>
      <w:outlineLvl w:val="2"/>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5.xml"/><Relationship Id="rId8" Type="http://schemas.openxmlformats.org/officeDocument/2006/relationships/image" Target="media/image1.png"/><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hart" Target="charts/chart7.xml"/><Relationship Id="rId10" Type="http://schemas.openxmlformats.org/officeDocument/2006/relationships/chart" Target="charts/chart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21326;&#27979;&#26816;&#27979;\&#30333;&#27946;&#28023;\2023.03.14%20&#28201;&#29935;&#39135;&#21697;&#31185;&#25216;%20&#22242;&#26631;&#21046;&#23450;\5%20&#26631;&#20934;&#36215;&#33609;\3%20&#20250;&#21518;&#20462;&#25913;&#31295;\&#29275;&#32905;&#39292;&#29702;&#21270;&#26816;&#27979;&#25968;&#25454;--&#21326;&#27979;&#36817;&#19977;&#2418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900" b="0" i="0" u="none" strike="noStrike" kern="1200" spc="0" baseline="0">
                <a:solidFill>
                  <a:schemeClr val="tx1">
                    <a:lumMod val="65000"/>
                    <a:lumOff val="35000"/>
                  </a:schemeClr>
                </a:solidFill>
                <a:latin typeface="+mn-lt"/>
                <a:ea typeface="+mn-ea"/>
                <a:cs typeface="+mn-cs"/>
              </a:defRPr>
            </a:pPr>
            <a:r>
              <a:rPr lang="zh-CN" altLang="en-US" sz="900"/>
              <a:t>蛋白质含量</a:t>
            </a:r>
            <a:endParaRPr lang="en-US" altLang="zh-CN" sz="900"/>
          </a:p>
          <a:p>
            <a:pPr>
              <a:defRPr lang="zh-CN" sz="900" b="0" i="0" u="none" strike="noStrike" kern="1200" spc="0" baseline="0">
                <a:solidFill>
                  <a:schemeClr val="tx1">
                    <a:lumMod val="65000"/>
                    <a:lumOff val="35000"/>
                  </a:schemeClr>
                </a:solidFill>
                <a:latin typeface="+mn-lt"/>
                <a:ea typeface="+mn-ea"/>
                <a:cs typeface="+mn-cs"/>
              </a:defRPr>
            </a:pPr>
            <a:r>
              <a:rPr lang="zh-CN" altLang="en-US" sz="900"/>
              <a:t>（单位</a:t>
            </a:r>
            <a:r>
              <a:rPr lang="en-US" altLang="zh-CN" sz="900"/>
              <a:t>g/100g</a:t>
            </a:r>
            <a:r>
              <a:rPr lang="zh-CN" altLang="en-US" sz="900"/>
              <a:t>）</a:t>
            </a:r>
            <a:endParaRPr lang="zh-CN" altLang="en-US" sz="900"/>
          </a:p>
        </c:rich>
      </c:tx>
      <c:layout/>
      <c:overlay val="0"/>
      <c:spPr>
        <a:noFill/>
        <a:ln>
          <a:noFill/>
        </a:ln>
        <a:effectLst/>
      </c:spPr>
    </c:title>
    <c:autoTitleDeleted val="0"/>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yVal>
            <c:numRef>
              <c:f>'[牛肉饼理化检测数据--华测近三年.xlsx]蛋白质数据'!$B$2:$B$9</c:f>
              <c:numCache>
                <c:formatCode>General</c:formatCode>
                <c:ptCount val="8"/>
                <c:pt idx="0">
                  <c:v>17</c:v>
                </c:pt>
                <c:pt idx="1">
                  <c:v>15.9</c:v>
                </c:pt>
                <c:pt idx="2">
                  <c:v>16</c:v>
                </c:pt>
                <c:pt idx="3">
                  <c:v>15.7</c:v>
                </c:pt>
                <c:pt idx="4">
                  <c:v>15.8</c:v>
                </c:pt>
                <c:pt idx="5">
                  <c:v>16</c:v>
                </c:pt>
                <c:pt idx="6">
                  <c:v>16.7</c:v>
                </c:pt>
                <c:pt idx="7">
                  <c:v>15.5</c:v>
                </c:pt>
              </c:numCache>
            </c:numRef>
          </c:yVal>
          <c:smooth val="0"/>
        </c:ser>
        <c:dLbls>
          <c:showLegendKey val="0"/>
          <c:showVal val="0"/>
          <c:showCatName val="0"/>
          <c:showSerName val="0"/>
          <c:showPercent val="0"/>
          <c:showBubbleSize val="0"/>
        </c:dLbls>
        <c:axId val="1393126399"/>
        <c:axId val="1555750943"/>
      </c:scatterChart>
      <c:valAx>
        <c:axId val="1393126399"/>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样品编号</a:t>
                </a:r>
              </a:p>
            </c:rich>
          </c:tx>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55750943"/>
        <c:crosses val="autoZero"/>
        <c:crossBetween val="midCat"/>
      </c:valAx>
      <c:valAx>
        <c:axId val="1555750943"/>
        <c:scaling>
          <c:orientation val="minMax"/>
          <c:max val="20"/>
          <c:min val="10"/>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蛋白质含量</a:t>
                </a:r>
              </a:p>
            </c:rich>
          </c:tx>
          <c:layout>
            <c:manualLayout>
              <c:xMode val="edge"/>
              <c:yMode val="edge"/>
              <c:x val="0.0485008818342152"/>
              <c:y val="0.315952080706179"/>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93126399"/>
        <c:crosses val="autoZero"/>
        <c:crossBetween val="midCat"/>
        <c:majorUnit val="3"/>
        <c:minorUnit val="0.5"/>
      </c:valAx>
      <c:spPr>
        <a:noFill/>
        <a:ln>
          <a:noFill/>
        </a:ln>
        <a:effectLst/>
      </c:spPr>
    </c:plotArea>
    <c:plotVisOnly val="1"/>
    <c:dispBlanksAs val="gap"/>
    <c:showDLblsOverMax val="0"/>
  </c:chart>
  <c:spPr>
    <a:no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00" b="0" i="0" u="none" strike="noStrike" kern="1200" spc="0" baseline="0">
                <a:solidFill>
                  <a:schemeClr val="tx1">
                    <a:lumMod val="65000"/>
                    <a:lumOff val="35000"/>
                  </a:schemeClr>
                </a:solidFill>
                <a:latin typeface="+mn-lt"/>
                <a:ea typeface="+mn-ea"/>
                <a:cs typeface="+mn-cs"/>
              </a:defRPr>
            </a:pPr>
            <a:r>
              <a:rPr lang="zh-CN" altLang="en-US" sz="1000" b="0" i="0" u="none" strike="noStrike" kern="1200" spc="0" baseline="0">
                <a:solidFill>
                  <a:sysClr val="windowText" lastClr="000000">
                    <a:lumMod val="65000"/>
                    <a:lumOff val="35000"/>
                  </a:sysClr>
                </a:solidFill>
              </a:rPr>
              <a:t>蛋白质含量</a:t>
            </a:r>
            <a:endParaRPr lang="en-US" altLang="zh-CN" sz="1000" b="0" i="0" u="none" strike="noStrike" kern="1200" spc="0" baseline="0">
              <a:solidFill>
                <a:sysClr val="windowText" lastClr="000000">
                  <a:lumMod val="65000"/>
                  <a:lumOff val="35000"/>
                </a:sysClr>
              </a:solidFill>
            </a:endParaRPr>
          </a:p>
          <a:p>
            <a:pPr>
              <a:defRPr lang="zh-CN" sz="1000" b="0" i="0" u="none" strike="noStrike" kern="1200" spc="0" baseline="0">
                <a:solidFill>
                  <a:schemeClr val="tx1">
                    <a:lumMod val="65000"/>
                    <a:lumOff val="35000"/>
                  </a:schemeClr>
                </a:solidFill>
                <a:latin typeface="+mn-lt"/>
                <a:ea typeface="+mn-ea"/>
                <a:cs typeface="+mn-cs"/>
              </a:defRPr>
            </a:pPr>
            <a:r>
              <a:rPr lang="zh-CN" altLang="en-US" sz="1000" b="0" i="0" u="none" strike="noStrike" kern="1200" spc="0" baseline="0">
                <a:solidFill>
                  <a:sysClr val="windowText" lastClr="000000">
                    <a:lumMod val="65000"/>
                    <a:lumOff val="35000"/>
                  </a:sysClr>
                </a:solidFill>
              </a:rPr>
              <a:t>（单位</a:t>
            </a:r>
            <a:r>
              <a:rPr lang="en-US" altLang="zh-CN" sz="1000" b="0" i="0" u="none" strike="noStrike" kern="1200" spc="0" baseline="0">
                <a:solidFill>
                  <a:sysClr val="windowText" lastClr="000000">
                    <a:lumMod val="65000"/>
                    <a:lumOff val="35000"/>
                  </a:sysClr>
                </a:solidFill>
              </a:rPr>
              <a:t>g/100g</a:t>
            </a:r>
            <a:r>
              <a:rPr lang="zh-CN" altLang="en-US" sz="1000" b="0" i="0" u="none" strike="noStrike" kern="1200" spc="0" baseline="0">
                <a:solidFill>
                  <a:sysClr val="windowText" lastClr="000000">
                    <a:lumMod val="65000"/>
                    <a:lumOff val="35000"/>
                  </a:sysClr>
                </a:solidFill>
              </a:rPr>
              <a:t>）</a:t>
            </a:r>
            <a:endParaRPr lang="zh-CN" altLang="en-US" sz="1000" b="0" i="0" u="none" strike="noStrike" kern="1200" spc="0" baseline="0">
              <a:solidFill>
                <a:sysClr val="windowText" lastClr="000000">
                  <a:lumMod val="65000"/>
                  <a:lumOff val="35000"/>
                </a:sysClr>
              </a:solidFill>
            </a:endParaRPr>
          </a:p>
        </c:rich>
      </c:tx>
      <c:layout/>
      <c:overlay val="0"/>
      <c:spPr>
        <a:noFill/>
        <a:ln>
          <a:noFill/>
        </a:ln>
        <a:effectLst/>
      </c:spPr>
    </c:title>
    <c:autoTitleDeleted val="0"/>
    <c:plotArea>
      <c:layout>
        <c:manualLayout>
          <c:layoutTarget val="inner"/>
          <c:xMode val="edge"/>
          <c:yMode val="edge"/>
          <c:x val="0.144303797468354"/>
          <c:y val="0.14311088556204"/>
          <c:w val="0.808860759493671"/>
          <c:h val="0.587414361837097"/>
        </c:manualLayout>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dLbls>
            <c:delete val="1"/>
          </c:dLbls>
          <c:yVal>
            <c:numRef>
              <c:f>'[牛肉饼理化检测数据--华测近三年.xlsx]蛋白质数据'!$N$1:$N$202</c:f>
              <c:numCache>
                <c:formatCode>General</c:formatCode>
                <c:ptCount val="202"/>
                <c:pt idx="0">
                  <c:v>14.8</c:v>
                </c:pt>
                <c:pt idx="1">
                  <c:v>14.8</c:v>
                </c:pt>
                <c:pt idx="2">
                  <c:v>16.2</c:v>
                </c:pt>
                <c:pt idx="3">
                  <c:v>16.2</c:v>
                </c:pt>
                <c:pt idx="4">
                  <c:v>7.38</c:v>
                </c:pt>
                <c:pt idx="5">
                  <c:v>7.38</c:v>
                </c:pt>
                <c:pt idx="6">
                  <c:v>13.8</c:v>
                </c:pt>
                <c:pt idx="7">
                  <c:v>13.8</c:v>
                </c:pt>
                <c:pt idx="8">
                  <c:v>9.34</c:v>
                </c:pt>
                <c:pt idx="9">
                  <c:v>9.34</c:v>
                </c:pt>
                <c:pt idx="10">
                  <c:v>15.2</c:v>
                </c:pt>
                <c:pt idx="11">
                  <c:v>15.2</c:v>
                </c:pt>
                <c:pt idx="12">
                  <c:v>13.2</c:v>
                </c:pt>
                <c:pt idx="13">
                  <c:v>13.2</c:v>
                </c:pt>
                <c:pt idx="14">
                  <c:v>19.9</c:v>
                </c:pt>
                <c:pt idx="15">
                  <c:v>19.9</c:v>
                </c:pt>
                <c:pt idx="16">
                  <c:v>19.9</c:v>
                </c:pt>
                <c:pt idx="17">
                  <c:v>19.9</c:v>
                </c:pt>
                <c:pt idx="18">
                  <c:v>20.4</c:v>
                </c:pt>
                <c:pt idx="19">
                  <c:v>20.4</c:v>
                </c:pt>
                <c:pt idx="20">
                  <c:v>10.6</c:v>
                </c:pt>
                <c:pt idx="21">
                  <c:v>10.6</c:v>
                </c:pt>
                <c:pt idx="22">
                  <c:v>12</c:v>
                </c:pt>
                <c:pt idx="23">
                  <c:v>12</c:v>
                </c:pt>
                <c:pt idx="24">
                  <c:v>12.4</c:v>
                </c:pt>
                <c:pt idx="25">
                  <c:v>12.4</c:v>
                </c:pt>
                <c:pt idx="26">
                  <c:v>12</c:v>
                </c:pt>
                <c:pt idx="27">
                  <c:v>12</c:v>
                </c:pt>
                <c:pt idx="28">
                  <c:v>11.7</c:v>
                </c:pt>
                <c:pt idx="29">
                  <c:v>11.7</c:v>
                </c:pt>
                <c:pt idx="30">
                  <c:v>11.7</c:v>
                </c:pt>
                <c:pt idx="31">
                  <c:v>11.6</c:v>
                </c:pt>
                <c:pt idx="32">
                  <c:v>11.6</c:v>
                </c:pt>
                <c:pt idx="33">
                  <c:v>11.6</c:v>
                </c:pt>
                <c:pt idx="34">
                  <c:v>13.3</c:v>
                </c:pt>
                <c:pt idx="35">
                  <c:v>13.3</c:v>
                </c:pt>
                <c:pt idx="36">
                  <c:v>15.5</c:v>
                </c:pt>
                <c:pt idx="37">
                  <c:v>15.5</c:v>
                </c:pt>
                <c:pt idx="38">
                  <c:v>15.5</c:v>
                </c:pt>
                <c:pt idx="39">
                  <c:v>16.7</c:v>
                </c:pt>
                <c:pt idx="40">
                  <c:v>16.7</c:v>
                </c:pt>
                <c:pt idx="41">
                  <c:v>16.7</c:v>
                </c:pt>
                <c:pt idx="42">
                  <c:v>15.8</c:v>
                </c:pt>
                <c:pt idx="43">
                  <c:v>15.8</c:v>
                </c:pt>
                <c:pt idx="44">
                  <c:v>15.8</c:v>
                </c:pt>
                <c:pt idx="45">
                  <c:v>16</c:v>
                </c:pt>
                <c:pt idx="46">
                  <c:v>16</c:v>
                </c:pt>
                <c:pt idx="47">
                  <c:v>16</c:v>
                </c:pt>
                <c:pt idx="48">
                  <c:v>13.2</c:v>
                </c:pt>
                <c:pt idx="49">
                  <c:v>13.2</c:v>
                </c:pt>
                <c:pt idx="50">
                  <c:v>7.68</c:v>
                </c:pt>
                <c:pt idx="51">
                  <c:v>8.55</c:v>
                </c:pt>
                <c:pt idx="52">
                  <c:v>8.55</c:v>
                </c:pt>
                <c:pt idx="53">
                  <c:v>7.79</c:v>
                </c:pt>
                <c:pt idx="54">
                  <c:v>7.79</c:v>
                </c:pt>
                <c:pt idx="55">
                  <c:v>7.25</c:v>
                </c:pt>
                <c:pt idx="56">
                  <c:v>7.25</c:v>
                </c:pt>
                <c:pt idx="57">
                  <c:v>6.43</c:v>
                </c:pt>
                <c:pt idx="58">
                  <c:v>6.43</c:v>
                </c:pt>
                <c:pt idx="59">
                  <c:v>8.08</c:v>
                </c:pt>
                <c:pt idx="60">
                  <c:v>8.08</c:v>
                </c:pt>
                <c:pt idx="61">
                  <c:v>8.63</c:v>
                </c:pt>
                <c:pt idx="62">
                  <c:v>8.63</c:v>
                </c:pt>
                <c:pt idx="63">
                  <c:v>8.07</c:v>
                </c:pt>
                <c:pt idx="64">
                  <c:v>8.07</c:v>
                </c:pt>
                <c:pt idx="65">
                  <c:v>7.61</c:v>
                </c:pt>
                <c:pt idx="66">
                  <c:v>11.9</c:v>
                </c:pt>
                <c:pt idx="67">
                  <c:v>11.9</c:v>
                </c:pt>
                <c:pt idx="68">
                  <c:v>19.2</c:v>
                </c:pt>
                <c:pt idx="69">
                  <c:v>19.2</c:v>
                </c:pt>
                <c:pt idx="70">
                  <c:v>8.58</c:v>
                </c:pt>
                <c:pt idx="71">
                  <c:v>14.5</c:v>
                </c:pt>
                <c:pt idx="72">
                  <c:v>14.5</c:v>
                </c:pt>
                <c:pt idx="73">
                  <c:v>14.5</c:v>
                </c:pt>
                <c:pt idx="74">
                  <c:v>19.3</c:v>
                </c:pt>
                <c:pt idx="75">
                  <c:v>19.3</c:v>
                </c:pt>
                <c:pt idx="76">
                  <c:v>16.3</c:v>
                </c:pt>
                <c:pt idx="77">
                  <c:v>16.3</c:v>
                </c:pt>
                <c:pt idx="78">
                  <c:v>15.7</c:v>
                </c:pt>
                <c:pt idx="79">
                  <c:v>15.7</c:v>
                </c:pt>
                <c:pt idx="80">
                  <c:v>13.7</c:v>
                </c:pt>
                <c:pt idx="81">
                  <c:v>13.7</c:v>
                </c:pt>
                <c:pt idx="82">
                  <c:v>13.7</c:v>
                </c:pt>
                <c:pt idx="83">
                  <c:v>15</c:v>
                </c:pt>
                <c:pt idx="84">
                  <c:v>15</c:v>
                </c:pt>
                <c:pt idx="85">
                  <c:v>15</c:v>
                </c:pt>
                <c:pt idx="86">
                  <c:v>15</c:v>
                </c:pt>
                <c:pt idx="87">
                  <c:v>14.6</c:v>
                </c:pt>
                <c:pt idx="88">
                  <c:v>14.6</c:v>
                </c:pt>
                <c:pt idx="89">
                  <c:v>12</c:v>
                </c:pt>
                <c:pt idx="90">
                  <c:v>12</c:v>
                </c:pt>
                <c:pt idx="91">
                  <c:v>15.3</c:v>
                </c:pt>
                <c:pt idx="92">
                  <c:v>15.3</c:v>
                </c:pt>
                <c:pt idx="93">
                  <c:v>13.2</c:v>
                </c:pt>
                <c:pt idx="94">
                  <c:v>13.2</c:v>
                </c:pt>
                <c:pt idx="95">
                  <c:v>16.7</c:v>
                </c:pt>
                <c:pt idx="96">
                  <c:v>16.7</c:v>
                </c:pt>
                <c:pt idx="97">
                  <c:v>13.7</c:v>
                </c:pt>
                <c:pt idx="98">
                  <c:v>13.7</c:v>
                </c:pt>
                <c:pt idx="99">
                  <c:v>13.9</c:v>
                </c:pt>
                <c:pt idx="100">
                  <c:v>13</c:v>
                </c:pt>
                <c:pt idx="101">
                  <c:v>13.8</c:v>
                </c:pt>
                <c:pt idx="102">
                  <c:v>14.1</c:v>
                </c:pt>
                <c:pt idx="103">
                  <c:v>13.8</c:v>
                </c:pt>
                <c:pt idx="104">
                  <c:v>14.5</c:v>
                </c:pt>
                <c:pt idx="105">
                  <c:v>14.2</c:v>
                </c:pt>
                <c:pt idx="106">
                  <c:v>14.2</c:v>
                </c:pt>
                <c:pt idx="107">
                  <c:v>12.7</c:v>
                </c:pt>
                <c:pt idx="108">
                  <c:v>14</c:v>
                </c:pt>
                <c:pt idx="109">
                  <c:v>14</c:v>
                </c:pt>
                <c:pt idx="110">
                  <c:v>16.6</c:v>
                </c:pt>
                <c:pt idx="111">
                  <c:v>16.6</c:v>
                </c:pt>
                <c:pt idx="112">
                  <c:v>13.1</c:v>
                </c:pt>
                <c:pt idx="113">
                  <c:v>16.2</c:v>
                </c:pt>
                <c:pt idx="114">
                  <c:v>16.2</c:v>
                </c:pt>
                <c:pt idx="115">
                  <c:v>18.7</c:v>
                </c:pt>
                <c:pt idx="116">
                  <c:v>18.7</c:v>
                </c:pt>
                <c:pt idx="117">
                  <c:v>13.8</c:v>
                </c:pt>
                <c:pt idx="118">
                  <c:v>15.9</c:v>
                </c:pt>
                <c:pt idx="119">
                  <c:v>15.9</c:v>
                </c:pt>
                <c:pt idx="120">
                  <c:v>14.6</c:v>
                </c:pt>
                <c:pt idx="121">
                  <c:v>14.6</c:v>
                </c:pt>
                <c:pt idx="122">
                  <c:v>18.3</c:v>
                </c:pt>
                <c:pt idx="123">
                  <c:v>18.3</c:v>
                </c:pt>
                <c:pt idx="124">
                  <c:v>18.3</c:v>
                </c:pt>
                <c:pt idx="125">
                  <c:v>17.7</c:v>
                </c:pt>
                <c:pt idx="126">
                  <c:v>17.7</c:v>
                </c:pt>
                <c:pt idx="127">
                  <c:v>6.78</c:v>
                </c:pt>
                <c:pt idx="128">
                  <c:v>6.78</c:v>
                </c:pt>
                <c:pt idx="129">
                  <c:v>16.7</c:v>
                </c:pt>
                <c:pt idx="130">
                  <c:v>15.8</c:v>
                </c:pt>
                <c:pt idx="131">
                  <c:v>11.2</c:v>
                </c:pt>
                <c:pt idx="132">
                  <c:v>15.3</c:v>
                </c:pt>
                <c:pt idx="133">
                  <c:v>15.3</c:v>
                </c:pt>
                <c:pt idx="134">
                  <c:v>15.4</c:v>
                </c:pt>
                <c:pt idx="135">
                  <c:v>14.3</c:v>
                </c:pt>
                <c:pt idx="136">
                  <c:v>15.1</c:v>
                </c:pt>
                <c:pt idx="137">
                  <c:v>15</c:v>
                </c:pt>
                <c:pt idx="138">
                  <c:v>15.2</c:v>
                </c:pt>
                <c:pt idx="139">
                  <c:v>14.9</c:v>
                </c:pt>
                <c:pt idx="140">
                  <c:v>14.2</c:v>
                </c:pt>
                <c:pt idx="141">
                  <c:v>14.4</c:v>
                </c:pt>
                <c:pt idx="142">
                  <c:v>15.6</c:v>
                </c:pt>
                <c:pt idx="143">
                  <c:v>15.1</c:v>
                </c:pt>
                <c:pt idx="144">
                  <c:v>10.9</c:v>
                </c:pt>
                <c:pt idx="145">
                  <c:v>10.9</c:v>
                </c:pt>
                <c:pt idx="146">
                  <c:v>10.3</c:v>
                </c:pt>
                <c:pt idx="147">
                  <c:v>10.3</c:v>
                </c:pt>
                <c:pt idx="148">
                  <c:v>10.3</c:v>
                </c:pt>
                <c:pt idx="149">
                  <c:v>10.3</c:v>
                </c:pt>
                <c:pt idx="150">
                  <c:v>11.8</c:v>
                </c:pt>
                <c:pt idx="151">
                  <c:v>11.8</c:v>
                </c:pt>
                <c:pt idx="152">
                  <c:v>12.8</c:v>
                </c:pt>
                <c:pt idx="153">
                  <c:v>12.8</c:v>
                </c:pt>
                <c:pt idx="154">
                  <c:v>13.9</c:v>
                </c:pt>
                <c:pt idx="155">
                  <c:v>13.9</c:v>
                </c:pt>
                <c:pt idx="156">
                  <c:v>15.6</c:v>
                </c:pt>
                <c:pt idx="157">
                  <c:v>15.6</c:v>
                </c:pt>
                <c:pt idx="158">
                  <c:v>13.7</c:v>
                </c:pt>
                <c:pt idx="159">
                  <c:v>13.7</c:v>
                </c:pt>
                <c:pt idx="160">
                  <c:v>15.4</c:v>
                </c:pt>
                <c:pt idx="161">
                  <c:v>15.4</c:v>
                </c:pt>
                <c:pt idx="162">
                  <c:v>13.4</c:v>
                </c:pt>
                <c:pt idx="163">
                  <c:v>13.4</c:v>
                </c:pt>
                <c:pt idx="164">
                  <c:v>17.4</c:v>
                </c:pt>
                <c:pt idx="165">
                  <c:v>17.4</c:v>
                </c:pt>
                <c:pt idx="166">
                  <c:v>17.3</c:v>
                </c:pt>
                <c:pt idx="167">
                  <c:v>17.3</c:v>
                </c:pt>
                <c:pt idx="168">
                  <c:v>24.6</c:v>
                </c:pt>
                <c:pt idx="169">
                  <c:v>24.6</c:v>
                </c:pt>
                <c:pt idx="170">
                  <c:v>23.5</c:v>
                </c:pt>
                <c:pt idx="171">
                  <c:v>23.5</c:v>
                </c:pt>
                <c:pt idx="172">
                  <c:v>24.1</c:v>
                </c:pt>
                <c:pt idx="173">
                  <c:v>24.1</c:v>
                </c:pt>
                <c:pt idx="174">
                  <c:v>26</c:v>
                </c:pt>
                <c:pt idx="175">
                  <c:v>26</c:v>
                </c:pt>
                <c:pt idx="176">
                  <c:v>18</c:v>
                </c:pt>
                <c:pt idx="177">
                  <c:v>18</c:v>
                </c:pt>
                <c:pt idx="178">
                  <c:v>14.5</c:v>
                </c:pt>
                <c:pt idx="179">
                  <c:v>14.5</c:v>
                </c:pt>
                <c:pt idx="180">
                  <c:v>12.4</c:v>
                </c:pt>
                <c:pt idx="181">
                  <c:v>12.4</c:v>
                </c:pt>
                <c:pt idx="182">
                  <c:v>12.1</c:v>
                </c:pt>
                <c:pt idx="183">
                  <c:v>12.1</c:v>
                </c:pt>
                <c:pt idx="184">
                  <c:v>17.1</c:v>
                </c:pt>
                <c:pt idx="185">
                  <c:v>17.6</c:v>
                </c:pt>
                <c:pt idx="186">
                  <c:v>15.8</c:v>
                </c:pt>
                <c:pt idx="187">
                  <c:v>15.8</c:v>
                </c:pt>
                <c:pt idx="188">
                  <c:v>15.7</c:v>
                </c:pt>
                <c:pt idx="189">
                  <c:v>15.7</c:v>
                </c:pt>
                <c:pt idx="190">
                  <c:v>13.7</c:v>
                </c:pt>
                <c:pt idx="191">
                  <c:v>13.7</c:v>
                </c:pt>
                <c:pt idx="192">
                  <c:v>14.4</c:v>
                </c:pt>
                <c:pt idx="193">
                  <c:v>14.4</c:v>
                </c:pt>
                <c:pt idx="194">
                  <c:v>13.5</c:v>
                </c:pt>
                <c:pt idx="195">
                  <c:v>13.5</c:v>
                </c:pt>
                <c:pt idx="196">
                  <c:v>16.1</c:v>
                </c:pt>
                <c:pt idx="197">
                  <c:v>16.1</c:v>
                </c:pt>
                <c:pt idx="198">
                  <c:v>17.3</c:v>
                </c:pt>
                <c:pt idx="199">
                  <c:v>17.3</c:v>
                </c:pt>
                <c:pt idx="200">
                  <c:v>17.3</c:v>
                </c:pt>
                <c:pt idx="201">
                  <c:v>17.3</c:v>
                </c:pt>
              </c:numCache>
            </c:numRef>
          </c:yVal>
          <c:smooth val="0"/>
        </c:ser>
        <c:dLbls>
          <c:showLegendKey val="0"/>
          <c:showVal val="0"/>
          <c:showCatName val="0"/>
          <c:showSerName val="0"/>
          <c:showPercent val="0"/>
          <c:showBubbleSize val="0"/>
        </c:dLbls>
        <c:axId val="999879359"/>
        <c:axId val="1341328703"/>
      </c:scatterChart>
      <c:valAx>
        <c:axId val="999879359"/>
        <c:scaling>
          <c:orientation val="minMax"/>
          <c:max val="210"/>
          <c:min val="0"/>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sz="1000"/>
                  <a:t>样品编号</a:t>
                </a:r>
                <a:endParaRPr sz="1000"/>
              </a:p>
            </c:rich>
          </c:tx>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341328703"/>
        <c:crosses val="autoZero"/>
        <c:crossBetween val="midCat"/>
      </c:valAx>
      <c:valAx>
        <c:axId val="1341328703"/>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sz="1000"/>
                  <a:t>蛋白质含量</a:t>
                </a:r>
                <a:endParaRPr sz="1000"/>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999879359"/>
        <c:crosses val="autoZero"/>
        <c:crossBetween val="midCat"/>
      </c:valAx>
      <c:spPr>
        <a:noFill/>
        <a:ln>
          <a:noFill/>
        </a:ln>
        <a:effectLst/>
      </c:spPr>
    </c:plotArea>
    <c:plotVisOnly val="1"/>
    <c:dispBlanksAs val="zero"/>
    <c:showDLblsOverMax val="0"/>
  </c:chart>
  <c:spPr>
    <a:noFill/>
    <a:ln w="9525" cap="flat" cmpd="sng" algn="ctr">
      <a:noFill/>
      <a:round/>
    </a:ln>
    <a:effectLst/>
  </c:spPr>
  <c:txPr>
    <a:bodyPr/>
    <a:lstStyle/>
    <a:p>
      <a:pPr>
        <a:defRPr lang="zh-CN" sz="1000"/>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200" b="0" i="0" u="none" strike="noStrike" kern="1200" spc="0" baseline="0">
                <a:solidFill>
                  <a:schemeClr val="tx1">
                    <a:lumMod val="65000"/>
                    <a:lumOff val="35000"/>
                  </a:schemeClr>
                </a:solidFill>
                <a:latin typeface="+mn-lt"/>
                <a:ea typeface="+mn-ea"/>
                <a:cs typeface="+mn-cs"/>
              </a:defRPr>
            </a:pPr>
            <a:r>
              <a:rPr lang="zh-CN" altLang="en-US" sz="1000"/>
              <a:t>淀粉含量</a:t>
            </a:r>
            <a:endParaRPr lang="en-US" altLang="zh-CN" sz="1000"/>
          </a:p>
          <a:p>
            <a:pPr>
              <a:defRPr lang="zh-CN" sz="1200" b="0" i="0" u="none" strike="noStrike" kern="1200" spc="0" baseline="0">
                <a:solidFill>
                  <a:schemeClr val="tx1">
                    <a:lumMod val="65000"/>
                    <a:lumOff val="35000"/>
                  </a:schemeClr>
                </a:solidFill>
                <a:latin typeface="+mn-lt"/>
                <a:ea typeface="+mn-ea"/>
                <a:cs typeface="+mn-cs"/>
              </a:defRPr>
            </a:pPr>
            <a:r>
              <a:rPr lang="zh-CN" altLang="en-US" sz="1000"/>
              <a:t>单位</a:t>
            </a:r>
            <a:r>
              <a:rPr lang="en-US" altLang="zh-CN" sz="1000"/>
              <a:t>(g/100g)</a:t>
            </a:r>
            <a:endParaRPr lang="en-US" altLang="zh-CN" sz="1000"/>
          </a:p>
        </c:rich>
      </c:tx>
      <c:layout/>
      <c:overlay val="0"/>
      <c:spPr>
        <a:noFill/>
        <a:ln>
          <a:noFill/>
        </a:ln>
        <a:effectLst/>
      </c:spPr>
    </c:title>
    <c:autoTitleDeleted val="0"/>
    <c:plotArea>
      <c:layout/>
      <c:scatterChart>
        <c:scatterStyle val="lineMarker"/>
        <c:varyColors val="0"/>
        <c:ser>
          <c:idx val="1"/>
          <c:order val="0"/>
          <c:spPr>
            <a:ln w="25400" cap="rnd">
              <a:noFill/>
              <a:round/>
            </a:ln>
            <a:effectLst/>
          </c:spPr>
          <c:marker>
            <c:symbol val="circle"/>
            <c:size val="5"/>
            <c:spPr>
              <a:solidFill>
                <a:schemeClr val="accent2"/>
              </a:solidFill>
              <a:ln w="9525">
                <a:solidFill>
                  <a:schemeClr val="accent2"/>
                </a:solidFill>
              </a:ln>
              <a:effectLst/>
            </c:spPr>
          </c:marker>
          <c:dLbls>
            <c:delete val="1"/>
          </c:dLbls>
          <c:yVal>
            <c:numRef>
              <c:f>'[牛肉饼理化检测数据--华测近三年.xlsx]淀粉数据'!$C$2:$C$14</c:f>
              <c:numCache>
                <c:formatCode>General</c:formatCode>
                <c:ptCount val="13"/>
                <c:pt idx="0">
                  <c:v>0.2</c:v>
                </c:pt>
                <c:pt idx="1">
                  <c:v>1.1</c:v>
                </c:pt>
                <c:pt idx="2">
                  <c:v>1.1</c:v>
                </c:pt>
                <c:pt idx="3">
                  <c:v>1.2</c:v>
                </c:pt>
                <c:pt idx="4">
                  <c:v>1.1</c:v>
                </c:pt>
                <c:pt idx="5">
                  <c:v>1.2</c:v>
                </c:pt>
                <c:pt idx="6">
                  <c:v>1.3</c:v>
                </c:pt>
                <c:pt idx="7">
                  <c:v>1.1</c:v>
                </c:pt>
                <c:pt idx="8">
                  <c:v>1.2</c:v>
                </c:pt>
                <c:pt idx="9">
                  <c:v>1.3</c:v>
                </c:pt>
                <c:pt idx="10">
                  <c:v>1.2</c:v>
                </c:pt>
                <c:pt idx="11">
                  <c:v>1.5</c:v>
                </c:pt>
                <c:pt idx="12">
                  <c:v>1</c:v>
                </c:pt>
              </c:numCache>
            </c:numRef>
          </c:yVal>
          <c:smooth val="0"/>
        </c:ser>
        <c:dLbls>
          <c:showLegendKey val="0"/>
          <c:showVal val="0"/>
          <c:showCatName val="0"/>
          <c:showSerName val="0"/>
          <c:showPercent val="0"/>
          <c:showBubbleSize val="0"/>
        </c:dLbls>
        <c:axId val="1000499807"/>
        <c:axId val="1341332543"/>
      </c:scatterChart>
      <c:valAx>
        <c:axId val="1000499807"/>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sz="1000"/>
                  <a:t>样品编号</a:t>
                </a:r>
                <a:endParaRPr sz="1000"/>
              </a:p>
            </c:rich>
          </c:tx>
          <c:layout/>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341332543"/>
        <c:crosses val="autoZero"/>
        <c:crossBetween val="midCat"/>
      </c:valAx>
      <c:valAx>
        <c:axId val="1341332543"/>
        <c:scaling>
          <c:orientation val="minMax"/>
          <c:max val="2"/>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sz="1000"/>
                  <a:t>淀粉含量</a:t>
                </a:r>
                <a:endParaRPr sz="1000"/>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000499807"/>
        <c:crosses val="autoZero"/>
        <c:crossBetween val="midCat"/>
      </c:valAx>
      <c:spPr>
        <a:noFill/>
        <a:ln>
          <a:noFill/>
        </a:ln>
        <a:effectLst/>
      </c:spPr>
    </c:plotArea>
    <c:plotVisOnly val="1"/>
    <c:dispBlanksAs val="gap"/>
    <c:showDLblsOverMax val="0"/>
  </c:chart>
  <c:spPr>
    <a:noFill/>
    <a:ln w="9525" cap="flat" cmpd="sng" algn="ctr">
      <a:noFill/>
      <a:round/>
    </a:ln>
    <a:effectLst/>
  </c:spPr>
  <c:txPr>
    <a:bodyPr/>
    <a:lstStyle/>
    <a:p>
      <a:pPr>
        <a:defRPr lang="zh-CN" sz="1000"/>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00" b="0" i="0" u="none" strike="noStrike" kern="1200" spc="0" baseline="0">
                <a:solidFill>
                  <a:schemeClr val="tx1">
                    <a:lumMod val="65000"/>
                    <a:lumOff val="35000"/>
                  </a:schemeClr>
                </a:solidFill>
                <a:latin typeface="+mn-lt"/>
                <a:ea typeface="+mn-ea"/>
                <a:cs typeface="+mn-cs"/>
              </a:defRPr>
            </a:pPr>
            <a:r>
              <a:rPr lang="zh-CN" altLang="en-US" sz="1000"/>
              <a:t>脂肪含量</a:t>
            </a:r>
            <a:endParaRPr lang="en-US" altLang="zh-CN" sz="1000"/>
          </a:p>
          <a:p>
            <a:pPr>
              <a:defRPr lang="zh-CN" sz="1000" b="0" i="0" u="none" strike="noStrike" kern="1200" spc="0" baseline="0">
                <a:solidFill>
                  <a:schemeClr val="tx1">
                    <a:lumMod val="65000"/>
                    <a:lumOff val="35000"/>
                  </a:schemeClr>
                </a:solidFill>
                <a:latin typeface="+mn-lt"/>
                <a:ea typeface="+mn-ea"/>
                <a:cs typeface="+mn-cs"/>
              </a:defRPr>
            </a:pPr>
            <a:r>
              <a:rPr lang="zh-CN" altLang="en-US" sz="1000"/>
              <a:t>单位</a:t>
            </a:r>
            <a:r>
              <a:rPr lang="en-US" altLang="zh-CN" sz="1000"/>
              <a:t>g/100g</a:t>
            </a:r>
            <a:endParaRPr lang="zh-CN" altLang="en-US" sz="1000"/>
          </a:p>
        </c:rich>
      </c:tx>
      <c:layout/>
      <c:overlay val="0"/>
      <c:spPr>
        <a:noFill/>
        <a:ln>
          <a:noFill/>
        </a:ln>
        <a:effectLst/>
      </c:spPr>
    </c:title>
    <c:autoTitleDeleted val="0"/>
    <c:plotArea>
      <c:layout/>
      <c:scatterChart>
        <c:scatterStyle val="lineMarker"/>
        <c:varyColors val="0"/>
        <c:ser>
          <c:idx val="0"/>
          <c:order val="0"/>
          <c:spPr>
            <a:ln w="28575" cap="rnd">
              <a:noFill/>
              <a:round/>
            </a:ln>
            <a:effectLst/>
          </c:spPr>
          <c:marker>
            <c:symbol val="circle"/>
            <c:size val="5"/>
            <c:spPr>
              <a:solidFill>
                <a:schemeClr val="accent1"/>
              </a:solidFill>
              <a:ln w="9525">
                <a:solidFill>
                  <a:schemeClr val="accent1"/>
                </a:solidFill>
              </a:ln>
              <a:effectLst/>
            </c:spPr>
          </c:marker>
          <c:dLbls>
            <c:delete val="1"/>
          </c:dLbls>
          <c:yVal>
            <c:numRef>
              <c:f>'[牛肉饼理化检测数据--华测近三年.xlsx]脂肪'!$B$3:$B$251</c:f>
              <c:numCache>
                <c:formatCode>General</c:formatCode>
                <c:ptCount val="249"/>
                <c:pt idx="0">
                  <c:v>11</c:v>
                </c:pt>
                <c:pt idx="1">
                  <c:v>11</c:v>
                </c:pt>
                <c:pt idx="2">
                  <c:v>13.6</c:v>
                </c:pt>
                <c:pt idx="3">
                  <c:v>13.6</c:v>
                </c:pt>
                <c:pt idx="4">
                  <c:v>23.3</c:v>
                </c:pt>
                <c:pt idx="5">
                  <c:v>13.9</c:v>
                </c:pt>
                <c:pt idx="6">
                  <c:v>13.9</c:v>
                </c:pt>
                <c:pt idx="7">
                  <c:v>18.2</c:v>
                </c:pt>
                <c:pt idx="8">
                  <c:v>18.2</c:v>
                </c:pt>
                <c:pt idx="9">
                  <c:v>18.2</c:v>
                </c:pt>
                <c:pt idx="10">
                  <c:v>30.8</c:v>
                </c:pt>
                <c:pt idx="11">
                  <c:v>30.8</c:v>
                </c:pt>
                <c:pt idx="12">
                  <c:v>30.8</c:v>
                </c:pt>
                <c:pt idx="13">
                  <c:v>20.7</c:v>
                </c:pt>
                <c:pt idx="14">
                  <c:v>6.4</c:v>
                </c:pt>
                <c:pt idx="15">
                  <c:v>6.4</c:v>
                </c:pt>
                <c:pt idx="16">
                  <c:v>13.6</c:v>
                </c:pt>
                <c:pt idx="17">
                  <c:v>13.6</c:v>
                </c:pt>
                <c:pt idx="18">
                  <c:v>13.6</c:v>
                </c:pt>
                <c:pt idx="19">
                  <c:v>13.6</c:v>
                </c:pt>
                <c:pt idx="20">
                  <c:v>13.6</c:v>
                </c:pt>
                <c:pt idx="21">
                  <c:v>17.6</c:v>
                </c:pt>
                <c:pt idx="22">
                  <c:v>17.6</c:v>
                </c:pt>
                <c:pt idx="23">
                  <c:v>17.6</c:v>
                </c:pt>
                <c:pt idx="24">
                  <c:v>21.7</c:v>
                </c:pt>
                <c:pt idx="25">
                  <c:v>21.7</c:v>
                </c:pt>
                <c:pt idx="26">
                  <c:v>11.5</c:v>
                </c:pt>
                <c:pt idx="27">
                  <c:v>11.5</c:v>
                </c:pt>
                <c:pt idx="28">
                  <c:v>11.5</c:v>
                </c:pt>
                <c:pt idx="29">
                  <c:v>26.6</c:v>
                </c:pt>
                <c:pt idx="30">
                  <c:v>26.6</c:v>
                </c:pt>
                <c:pt idx="31">
                  <c:v>24.6</c:v>
                </c:pt>
                <c:pt idx="32">
                  <c:v>24.6</c:v>
                </c:pt>
                <c:pt idx="33">
                  <c:v>30.5</c:v>
                </c:pt>
                <c:pt idx="34">
                  <c:v>30.5</c:v>
                </c:pt>
                <c:pt idx="35">
                  <c:v>30.5</c:v>
                </c:pt>
                <c:pt idx="36">
                  <c:v>30.5</c:v>
                </c:pt>
                <c:pt idx="37">
                  <c:v>29.1</c:v>
                </c:pt>
                <c:pt idx="38">
                  <c:v>29.1</c:v>
                </c:pt>
                <c:pt idx="39">
                  <c:v>34.7</c:v>
                </c:pt>
                <c:pt idx="40">
                  <c:v>34.7</c:v>
                </c:pt>
                <c:pt idx="41">
                  <c:v>34.3</c:v>
                </c:pt>
                <c:pt idx="42">
                  <c:v>34.3</c:v>
                </c:pt>
                <c:pt idx="43">
                  <c:v>9.8</c:v>
                </c:pt>
                <c:pt idx="44">
                  <c:v>9.8</c:v>
                </c:pt>
                <c:pt idx="45">
                  <c:v>13.6</c:v>
                </c:pt>
                <c:pt idx="46">
                  <c:v>13.6</c:v>
                </c:pt>
                <c:pt idx="47">
                  <c:v>21.5</c:v>
                </c:pt>
                <c:pt idx="48">
                  <c:v>21.5</c:v>
                </c:pt>
                <c:pt idx="49">
                  <c:v>2.5</c:v>
                </c:pt>
                <c:pt idx="50">
                  <c:v>2.5</c:v>
                </c:pt>
                <c:pt idx="51">
                  <c:v>2.5</c:v>
                </c:pt>
                <c:pt idx="52">
                  <c:v>2.5</c:v>
                </c:pt>
                <c:pt idx="53">
                  <c:v>1.2</c:v>
                </c:pt>
                <c:pt idx="54">
                  <c:v>1.2</c:v>
                </c:pt>
                <c:pt idx="55">
                  <c:v>23.4</c:v>
                </c:pt>
                <c:pt idx="56">
                  <c:v>23.4</c:v>
                </c:pt>
                <c:pt idx="57">
                  <c:v>28.8</c:v>
                </c:pt>
                <c:pt idx="58">
                  <c:v>28.8</c:v>
                </c:pt>
                <c:pt idx="59">
                  <c:v>30.8</c:v>
                </c:pt>
                <c:pt idx="60">
                  <c:v>30.8</c:v>
                </c:pt>
                <c:pt idx="61">
                  <c:v>10</c:v>
                </c:pt>
                <c:pt idx="62">
                  <c:v>10</c:v>
                </c:pt>
                <c:pt idx="63">
                  <c:v>14.9</c:v>
                </c:pt>
                <c:pt idx="64">
                  <c:v>14.9</c:v>
                </c:pt>
                <c:pt idx="65">
                  <c:v>14.9</c:v>
                </c:pt>
                <c:pt idx="66">
                  <c:v>14.1</c:v>
                </c:pt>
                <c:pt idx="67">
                  <c:v>14.1</c:v>
                </c:pt>
                <c:pt idx="68">
                  <c:v>14.1</c:v>
                </c:pt>
                <c:pt idx="69">
                  <c:v>17.7</c:v>
                </c:pt>
                <c:pt idx="70">
                  <c:v>17.7</c:v>
                </c:pt>
                <c:pt idx="71">
                  <c:v>12</c:v>
                </c:pt>
                <c:pt idx="72">
                  <c:v>12</c:v>
                </c:pt>
                <c:pt idx="73">
                  <c:v>12</c:v>
                </c:pt>
                <c:pt idx="74">
                  <c:v>12.5</c:v>
                </c:pt>
                <c:pt idx="75">
                  <c:v>12.5</c:v>
                </c:pt>
                <c:pt idx="76">
                  <c:v>12.5</c:v>
                </c:pt>
                <c:pt idx="77">
                  <c:v>14.1</c:v>
                </c:pt>
                <c:pt idx="78">
                  <c:v>14.1</c:v>
                </c:pt>
                <c:pt idx="79">
                  <c:v>14.1</c:v>
                </c:pt>
                <c:pt idx="80">
                  <c:v>12.8</c:v>
                </c:pt>
                <c:pt idx="81">
                  <c:v>12.8</c:v>
                </c:pt>
                <c:pt idx="82">
                  <c:v>12.8</c:v>
                </c:pt>
                <c:pt idx="83">
                  <c:v>13.1</c:v>
                </c:pt>
                <c:pt idx="84">
                  <c:v>13.1</c:v>
                </c:pt>
                <c:pt idx="85">
                  <c:v>16.2</c:v>
                </c:pt>
                <c:pt idx="86">
                  <c:v>10.2</c:v>
                </c:pt>
                <c:pt idx="87">
                  <c:v>10.2</c:v>
                </c:pt>
                <c:pt idx="88">
                  <c:v>11.7</c:v>
                </c:pt>
                <c:pt idx="89">
                  <c:v>11.7</c:v>
                </c:pt>
                <c:pt idx="90">
                  <c:v>14.3</c:v>
                </c:pt>
                <c:pt idx="91">
                  <c:v>14.3</c:v>
                </c:pt>
                <c:pt idx="92">
                  <c:v>17.3</c:v>
                </c:pt>
                <c:pt idx="93">
                  <c:v>17.3</c:v>
                </c:pt>
                <c:pt idx="94">
                  <c:v>10.4</c:v>
                </c:pt>
                <c:pt idx="95">
                  <c:v>10.4</c:v>
                </c:pt>
                <c:pt idx="96">
                  <c:v>7.1</c:v>
                </c:pt>
                <c:pt idx="97">
                  <c:v>7.1</c:v>
                </c:pt>
                <c:pt idx="98">
                  <c:v>8.2</c:v>
                </c:pt>
                <c:pt idx="99">
                  <c:v>8.2</c:v>
                </c:pt>
                <c:pt idx="100">
                  <c:v>17.9</c:v>
                </c:pt>
                <c:pt idx="101">
                  <c:v>29.7</c:v>
                </c:pt>
                <c:pt idx="102">
                  <c:v>29.7</c:v>
                </c:pt>
                <c:pt idx="103">
                  <c:v>11</c:v>
                </c:pt>
                <c:pt idx="104">
                  <c:v>11</c:v>
                </c:pt>
                <c:pt idx="105">
                  <c:v>13.5</c:v>
                </c:pt>
                <c:pt idx="106">
                  <c:v>23.2</c:v>
                </c:pt>
                <c:pt idx="107">
                  <c:v>23.2</c:v>
                </c:pt>
                <c:pt idx="108">
                  <c:v>23.2</c:v>
                </c:pt>
                <c:pt idx="109">
                  <c:v>16.7</c:v>
                </c:pt>
                <c:pt idx="110">
                  <c:v>16.7</c:v>
                </c:pt>
                <c:pt idx="111">
                  <c:v>16.4</c:v>
                </c:pt>
                <c:pt idx="112">
                  <c:v>16.4</c:v>
                </c:pt>
                <c:pt idx="113">
                  <c:v>34.6</c:v>
                </c:pt>
                <c:pt idx="114">
                  <c:v>34.6</c:v>
                </c:pt>
                <c:pt idx="115">
                  <c:v>28.8</c:v>
                </c:pt>
                <c:pt idx="116">
                  <c:v>28.8</c:v>
                </c:pt>
                <c:pt idx="117">
                  <c:v>28.8</c:v>
                </c:pt>
                <c:pt idx="118">
                  <c:v>20.6</c:v>
                </c:pt>
                <c:pt idx="119">
                  <c:v>20.6</c:v>
                </c:pt>
                <c:pt idx="120">
                  <c:v>20.6</c:v>
                </c:pt>
                <c:pt idx="121">
                  <c:v>20.6</c:v>
                </c:pt>
                <c:pt idx="122">
                  <c:v>16.7</c:v>
                </c:pt>
                <c:pt idx="123">
                  <c:v>16.7</c:v>
                </c:pt>
                <c:pt idx="124">
                  <c:v>18.9</c:v>
                </c:pt>
                <c:pt idx="125">
                  <c:v>18.9</c:v>
                </c:pt>
                <c:pt idx="126">
                  <c:v>13.4</c:v>
                </c:pt>
                <c:pt idx="127">
                  <c:v>13.4</c:v>
                </c:pt>
                <c:pt idx="128">
                  <c:v>26.6</c:v>
                </c:pt>
                <c:pt idx="129">
                  <c:v>26.6</c:v>
                </c:pt>
                <c:pt idx="130">
                  <c:v>13.9</c:v>
                </c:pt>
                <c:pt idx="131">
                  <c:v>13.9</c:v>
                </c:pt>
                <c:pt idx="132">
                  <c:v>14.5</c:v>
                </c:pt>
                <c:pt idx="133">
                  <c:v>14.5</c:v>
                </c:pt>
                <c:pt idx="134">
                  <c:v>20.7</c:v>
                </c:pt>
                <c:pt idx="135">
                  <c:v>19.8</c:v>
                </c:pt>
                <c:pt idx="136">
                  <c:v>21.5</c:v>
                </c:pt>
                <c:pt idx="137">
                  <c:v>20.4</c:v>
                </c:pt>
                <c:pt idx="138">
                  <c:v>19.3</c:v>
                </c:pt>
                <c:pt idx="139">
                  <c:v>19.5</c:v>
                </c:pt>
                <c:pt idx="140">
                  <c:v>18.5</c:v>
                </c:pt>
                <c:pt idx="141">
                  <c:v>19.6</c:v>
                </c:pt>
                <c:pt idx="142">
                  <c:v>19</c:v>
                </c:pt>
                <c:pt idx="143">
                  <c:v>18.4</c:v>
                </c:pt>
                <c:pt idx="144">
                  <c:v>20</c:v>
                </c:pt>
                <c:pt idx="145">
                  <c:v>26.7</c:v>
                </c:pt>
                <c:pt idx="146">
                  <c:v>26.7</c:v>
                </c:pt>
                <c:pt idx="147">
                  <c:v>21.9</c:v>
                </c:pt>
                <c:pt idx="148">
                  <c:v>19.6</c:v>
                </c:pt>
                <c:pt idx="149">
                  <c:v>19.6</c:v>
                </c:pt>
                <c:pt idx="150">
                  <c:v>17.4</c:v>
                </c:pt>
                <c:pt idx="151">
                  <c:v>22.5</c:v>
                </c:pt>
                <c:pt idx="152">
                  <c:v>22.5</c:v>
                </c:pt>
                <c:pt idx="153">
                  <c:v>27.7</c:v>
                </c:pt>
                <c:pt idx="154">
                  <c:v>27.7</c:v>
                </c:pt>
                <c:pt idx="155">
                  <c:v>17.6</c:v>
                </c:pt>
                <c:pt idx="156">
                  <c:v>18.3</c:v>
                </c:pt>
                <c:pt idx="157">
                  <c:v>18.3</c:v>
                </c:pt>
                <c:pt idx="158">
                  <c:v>27.8</c:v>
                </c:pt>
                <c:pt idx="159">
                  <c:v>27.8</c:v>
                </c:pt>
                <c:pt idx="160">
                  <c:v>23.6</c:v>
                </c:pt>
                <c:pt idx="161">
                  <c:v>23.6</c:v>
                </c:pt>
                <c:pt idx="162">
                  <c:v>23.6</c:v>
                </c:pt>
                <c:pt idx="163">
                  <c:v>28.1</c:v>
                </c:pt>
                <c:pt idx="164">
                  <c:v>28.1</c:v>
                </c:pt>
                <c:pt idx="165">
                  <c:v>15.2</c:v>
                </c:pt>
                <c:pt idx="166">
                  <c:v>15.2</c:v>
                </c:pt>
                <c:pt idx="167">
                  <c:v>22.7</c:v>
                </c:pt>
                <c:pt idx="168">
                  <c:v>22.7</c:v>
                </c:pt>
                <c:pt idx="169">
                  <c:v>23.1</c:v>
                </c:pt>
                <c:pt idx="170">
                  <c:v>23.1</c:v>
                </c:pt>
                <c:pt idx="171">
                  <c:v>20.4</c:v>
                </c:pt>
                <c:pt idx="172">
                  <c:v>22.3</c:v>
                </c:pt>
                <c:pt idx="173">
                  <c:v>25.4</c:v>
                </c:pt>
                <c:pt idx="174">
                  <c:v>17.3</c:v>
                </c:pt>
                <c:pt idx="175">
                  <c:v>17.3</c:v>
                </c:pt>
                <c:pt idx="176">
                  <c:v>27.8</c:v>
                </c:pt>
                <c:pt idx="177">
                  <c:v>29.3</c:v>
                </c:pt>
                <c:pt idx="178">
                  <c:v>27.3</c:v>
                </c:pt>
                <c:pt idx="179">
                  <c:v>28.7</c:v>
                </c:pt>
                <c:pt idx="180">
                  <c:v>28.4</c:v>
                </c:pt>
                <c:pt idx="181">
                  <c:v>28.8</c:v>
                </c:pt>
                <c:pt idx="182">
                  <c:v>29.5</c:v>
                </c:pt>
                <c:pt idx="183">
                  <c:v>28.6</c:v>
                </c:pt>
                <c:pt idx="184">
                  <c:v>27.8</c:v>
                </c:pt>
                <c:pt idx="185">
                  <c:v>29.1</c:v>
                </c:pt>
                <c:pt idx="186">
                  <c:v>28.8</c:v>
                </c:pt>
                <c:pt idx="187">
                  <c:v>30.2</c:v>
                </c:pt>
                <c:pt idx="188">
                  <c:v>29.7</c:v>
                </c:pt>
                <c:pt idx="189">
                  <c:v>29.5</c:v>
                </c:pt>
                <c:pt idx="190">
                  <c:v>29.6</c:v>
                </c:pt>
                <c:pt idx="191">
                  <c:v>28.2</c:v>
                </c:pt>
                <c:pt idx="192">
                  <c:v>12</c:v>
                </c:pt>
                <c:pt idx="193">
                  <c:v>12</c:v>
                </c:pt>
                <c:pt idx="194">
                  <c:v>11.9</c:v>
                </c:pt>
                <c:pt idx="195">
                  <c:v>11.9</c:v>
                </c:pt>
                <c:pt idx="196">
                  <c:v>11.9</c:v>
                </c:pt>
                <c:pt idx="197">
                  <c:v>11.9</c:v>
                </c:pt>
                <c:pt idx="198">
                  <c:v>40.4</c:v>
                </c:pt>
                <c:pt idx="199">
                  <c:v>40.4</c:v>
                </c:pt>
                <c:pt idx="200">
                  <c:v>33</c:v>
                </c:pt>
                <c:pt idx="201">
                  <c:v>33</c:v>
                </c:pt>
                <c:pt idx="202">
                  <c:v>31.7</c:v>
                </c:pt>
                <c:pt idx="203">
                  <c:v>31.7</c:v>
                </c:pt>
                <c:pt idx="204">
                  <c:v>32.4</c:v>
                </c:pt>
                <c:pt idx="205">
                  <c:v>32.4</c:v>
                </c:pt>
                <c:pt idx="206">
                  <c:v>38</c:v>
                </c:pt>
                <c:pt idx="207">
                  <c:v>38</c:v>
                </c:pt>
                <c:pt idx="208">
                  <c:v>33</c:v>
                </c:pt>
                <c:pt idx="209">
                  <c:v>33</c:v>
                </c:pt>
                <c:pt idx="210">
                  <c:v>20.2</c:v>
                </c:pt>
                <c:pt idx="211">
                  <c:v>20.2</c:v>
                </c:pt>
                <c:pt idx="212">
                  <c:v>18.3</c:v>
                </c:pt>
                <c:pt idx="213">
                  <c:v>18.3</c:v>
                </c:pt>
                <c:pt idx="214">
                  <c:v>21.8</c:v>
                </c:pt>
                <c:pt idx="215">
                  <c:v>21.8</c:v>
                </c:pt>
                <c:pt idx="216">
                  <c:v>20</c:v>
                </c:pt>
                <c:pt idx="217">
                  <c:v>20</c:v>
                </c:pt>
                <c:pt idx="218">
                  <c:v>23.3</c:v>
                </c:pt>
                <c:pt idx="219">
                  <c:v>23.3</c:v>
                </c:pt>
                <c:pt idx="220">
                  <c:v>18.8</c:v>
                </c:pt>
                <c:pt idx="221">
                  <c:v>18.8</c:v>
                </c:pt>
                <c:pt idx="222">
                  <c:v>19.3</c:v>
                </c:pt>
                <c:pt idx="223">
                  <c:v>19.3</c:v>
                </c:pt>
                <c:pt idx="224">
                  <c:v>23.4</c:v>
                </c:pt>
                <c:pt idx="225">
                  <c:v>23.4</c:v>
                </c:pt>
                <c:pt idx="226">
                  <c:v>38.2</c:v>
                </c:pt>
                <c:pt idx="227">
                  <c:v>38.2</c:v>
                </c:pt>
                <c:pt idx="228">
                  <c:v>34.5</c:v>
                </c:pt>
                <c:pt idx="229">
                  <c:v>34.5</c:v>
                </c:pt>
                <c:pt idx="230">
                  <c:v>10.8</c:v>
                </c:pt>
                <c:pt idx="231">
                  <c:v>10.8</c:v>
                </c:pt>
                <c:pt idx="232">
                  <c:v>23.3</c:v>
                </c:pt>
                <c:pt idx="233">
                  <c:v>32.3</c:v>
                </c:pt>
                <c:pt idx="234">
                  <c:v>32.3</c:v>
                </c:pt>
                <c:pt idx="235">
                  <c:v>21.8</c:v>
                </c:pt>
                <c:pt idx="236">
                  <c:v>21.8</c:v>
                </c:pt>
                <c:pt idx="237">
                  <c:v>11.7</c:v>
                </c:pt>
                <c:pt idx="238">
                  <c:v>11.7</c:v>
                </c:pt>
                <c:pt idx="239">
                  <c:v>17.2</c:v>
                </c:pt>
                <c:pt idx="240">
                  <c:v>17.2</c:v>
                </c:pt>
                <c:pt idx="241">
                  <c:v>28.8</c:v>
                </c:pt>
                <c:pt idx="242">
                  <c:v>28.8</c:v>
                </c:pt>
                <c:pt idx="243">
                  <c:v>9.8</c:v>
                </c:pt>
                <c:pt idx="244">
                  <c:v>9.8</c:v>
                </c:pt>
                <c:pt idx="245">
                  <c:v>25</c:v>
                </c:pt>
                <c:pt idx="246">
                  <c:v>25</c:v>
                </c:pt>
                <c:pt idx="247">
                  <c:v>25</c:v>
                </c:pt>
                <c:pt idx="248">
                  <c:v>25</c:v>
                </c:pt>
              </c:numCache>
            </c:numRef>
          </c:yVal>
          <c:smooth val="0"/>
        </c:ser>
        <c:dLbls>
          <c:showLegendKey val="0"/>
          <c:showVal val="0"/>
          <c:showCatName val="0"/>
          <c:showSerName val="0"/>
          <c:showPercent val="0"/>
          <c:showBubbleSize val="0"/>
        </c:dLbls>
        <c:axId val="1404049759"/>
        <c:axId val="1007014911"/>
      </c:scatterChart>
      <c:valAx>
        <c:axId val="1404049759"/>
        <c:scaling>
          <c:orientation val="minMax"/>
          <c:max val="280"/>
          <c:min val="0"/>
        </c:scaling>
        <c:delete val="0"/>
        <c:axPos val="b"/>
        <c:majorGridlines>
          <c:spPr>
            <a:ln w="9525" cap="flat" cmpd="sng" algn="ctr">
              <a:solidFill>
                <a:schemeClr val="tx1">
                  <a:lumMod val="15000"/>
                  <a:lumOff val="85000"/>
                </a:schemeClr>
              </a:solidFill>
              <a:round/>
            </a:ln>
            <a:effectLst/>
          </c:spPr>
        </c:majorGridlines>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样品编号</a:t>
                </a:r>
              </a:p>
            </c:rich>
          </c:tx>
          <c:layout/>
          <c:overlay val="0"/>
          <c:spPr>
            <a:noFill/>
            <a:ln>
              <a:noFill/>
            </a:ln>
            <a:effectLst/>
          </c:spPr>
        </c:title>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007014911"/>
        <c:crosses val="autoZero"/>
        <c:crossBetween val="midCat"/>
      </c:valAx>
      <c:valAx>
        <c:axId val="100701491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脂肪含量</a:t>
                </a:r>
              </a:p>
            </c:rich>
          </c:tx>
          <c:layout/>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404049759"/>
        <c:crosses val="autoZero"/>
        <c:crossBetween val="midCat"/>
      </c:valAx>
      <c:spPr>
        <a:noFill/>
        <a:ln>
          <a:noFill/>
        </a:ln>
        <a:effectLst/>
      </c:spPr>
    </c:plotArea>
    <c:plotVisOnly val="1"/>
    <c:dispBlanksAs val="gap"/>
    <c:showDLblsOverMax val="0"/>
  </c:chart>
  <c:spPr>
    <a:noFill/>
    <a:ln w="9525" cap="flat" cmpd="sng" algn="ctr">
      <a:noFill/>
      <a:round/>
    </a:ln>
    <a:effectLst/>
  </c:spPr>
  <c:txPr>
    <a:bodyPr/>
    <a:lstStyle/>
    <a:p>
      <a:pPr>
        <a:defRPr lang="zh-CN" sz="1000"/>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200" b="0" i="0" u="none" strike="noStrike" kern="1200" spc="0" baseline="0">
                <a:solidFill>
                  <a:schemeClr val="tx1">
                    <a:lumMod val="65000"/>
                    <a:lumOff val="35000"/>
                  </a:schemeClr>
                </a:solidFill>
                <a:latin typeface="+mn-lt"/>
                <a:ea typeface="+mn-ea"/>
                <a:cs typeface="+mn-cs"/>
              </a:defRPr>
            </a:pPr>
            <a:r>
              <a:rPr lang="zh-CN" altLang="en-US" sz="1000"/>
              <a:t>挥发性盐基氮含量</a:t>
            </a:r>
            <a:endParaRPr lang="en-US" altLang="zh-CN" sz="1000"/>
          </a:p>
          <a:p>
            <a:pPr>
              <a:defRPr lang="zh-CN" sz="1200" b="0" i="0" u="none" strike="noStrike" kern="1200" spc="0" baseline="0">
                <a:solidFill>
                  <a:schemeClr val="tx1">
                    <a:lumMod val="65000"/>
                    <a:lumOff val="35000"/>
                  </a:schemeClr>
                </a:solidFill>
                <a:latin typeface="+mn-lt"/>
                <a:ea typeface="+mn-ea"/>
                <a:cs typeface="+mn-cs"/>
              </a:defRPr>
            </a:pPr>
            <a:r>
              <a:rPr lang="zh-CN" altLang="en-US" sz="1000"/>
              <a:t>（单位</a:t>
            </a:r>
            <a:r>
              <a:rPr lang="en-US" altLang="zh-CN" sz="1000"/>
              <a:t>g/100g</a:t>
            </a:r>
            <a:r>
              <a:rPr lang="zh-CN" altLang="en-US" sz="1000"/>
              <a:t>）</a:t>
            </a:r>
            <a:endParaRPr lang="zh-CN" altLang="en-US" sz="1000"/>
          </a:p>
        </c:rich>
      </c:tx>
      <c:layout>
        <c:manualLayout>
          <c:xMode val="edge"/>
          <c:yMode val="edge"/>
          <c:x val="0.349414111502895"/>
          <c:y val="0.047140726806465"/>
        </c:manualLayout>
      </c:layout>
      <c:overlay val="0"/>
      <c:spPr>
        <a:noFill/>
        <a:ln>
          <a:noFill/>
        </a:ln>
        <a:effectLst/>
      </c:spPr>
    </c:title>
    <c:autoTitleDeleted val="0"/>
    <c:plotArea>
      <c:layout/>
      <c:scatterChart>
        <c:scatterStyle val="lineMarker"/>
        <c:varyColors val="0"/>
        <c:ser>
          <c:idx val="0"/>
          <c:order val="0"/>
          <c:tx>
            <c:strRef>
              <c:f>'[牛肉饼理化检测数据--华测近三年.xlsx]挥发性盐基氮'!$B$2</c:f>
              <c:strCache>
                <c:ptCount val="1"/>
                <c:pt idx="0">
                  <c:v/>
                </c:pt>
              </c:strCache>
            </c:strRef>
          </c:tx>
          <c:spPr>
            <a:ln w="28575" cap="rnd">
              <a:noFill/>
              <a:round/>
            </a:ln>
            <a:effectLst/>
          </c:spPr>
          <c:marker>
            <c:symbol val="circle"/>
            <c:size val="5"/>
            <c:spPr>
              <a:solidFill>
                <a:schemeClr val="accent1"/>
              </a:solidFill>
              <a:ln w="9525">
                <a:solidFill>
                  <a:schemeClr val="accent1"/>
                </a:solidFill>
              </a:ln>
              <a:effectLst/>
            </c:spPr>
          </c:marker>
          <c:dLbls>
            <c:delete val="1"/>
          </c:dLbls>
          <c:yVal>
            <c:numRef>
              <c:f>'[牛肉饼理化检测数据--华测近三年.xlsx]挥发性盐基氮'!$B$3:$B$222</c:f>
              <c:numCache>
                <c:formatCode>General</c:formatCode>
                <c:ptCount val="220"/>
                <c:pt idx="0">
                  <c:v>8.23</c:v>
                </c:pt>
                <c:pt idx="1">
                  <c:v>8.28</c:v>
                </c:pt>
                <c:pt idx="2">
                  <c:v>9.84</c:v>
                </c:pt>
                <c:pt idx="3">
                  <c:v>10.1</c:v>
                </c:pt>
                <c:pt idx="4">
                  <c:v>9.22</c:v>
                </c:pt>
                <c:pt idx="5">
                  <c:v>9.22</c:v>
                </c:pt>
                <c:pt idx="6">
                  <c:v>14.8</c:v>
                </c:pt>
                <c:pt idx="7">
                  <c:v>5.55</c:v>
                </c:pt>
                <c:pt idx="8">
                  <c:v>4.76</c:v>
                </c:pt>
                <c:pt idx="9">
                  <c:v>5.44</c:v>
                </c:pt>
                <c:pt idx="10">
                  <c:v>8.84</c:v>
                </c:pt>
                <c:pt idx="11">
                  <c:v>5.74</c:v>
                </c:pt>
                <c:pt idx="12">
                  <c:v>6.54</c:v>
                </c:pt>
                <c:pt idx="13">
                  <c:v>7.38</c:v>
                </c:pt>
                <c:pt idx="14">
                  <c:v>7.31</c:v>
                </c:pt>
                <c:pt idx="15">
                  <c:v>6.27</c:v>
                </c:pt>
                <c:pt idx="16">
                  <c:v>3.34</c:v>
                </c:pt>
                <c:pt idx="17">
                  <c:v>3.34</c:v>
                </c:pt>
                <c:pt idx="18">
                  <c:v>2.47</c:v>
                </c:pt>
                <c:pt idx="19">
                  <c:v>2.47</c:v>
                </c:pt>
                <c:pt idx="20">
                  <c:v>6.25</c:v>
                </c:pt>
                <c:pt idx="21">
                  <c:v>6.25</c:v>
                </c:pt>
                <c:pt idx="22">
                  <c:v>6.25</c:v>
                </c:pt>
                <c:pt idx="23">
                  <c:v>6.25</c:v>
                </c:pt>
                <c:pt idx="24">
                  <c:v>2.46</c:v>
                </c:pt>
                <c:pt idx="25">
                  <c:v>2.46</c:v>
                </c:pt>
                <c:pt idx="26">
                  <c:v>2.15</c:v>
                </c:pt>
                <c:pt idx="27">
                  <c:v>2.15</c:v>
                </c:pt>
                <c:pt idx="28">
                  <c:v>2.53</c:v>
                </c:pt>
                <c:pt idx="29">
                  <c:v>2.53</c:v>
                </c:pt>
                <c:pt idx="30">
                  <c:v>4.86</c:v>
                </c:pt>
                <c:pt idx="31">
                  <c:v>4.86</c:v>
                </c:pt>
                <c:pt idx="32">
                  <c:v>7.37</c:v>
                </c:pt>
                <c:pt idx="33">
                  <c:v>7.37</c:v>
                </c:pt>
                <c:pt idx="34">
                  <c:v>7.29</c:v>
                </c:pt>
                <c:pt idx="35">
                  <c:v>7.29</c:v>
                </c:pt>
                <c:pt idx="36">
                  <c:v>6.87</c:v>
                </c:pt>
                <c:pt idx="37">
                  <c:v>6.87</c:v>
                </c:pt>
                <c:pt idx="38">
                  <c:v>6.87</c:v>
                </c:pt>
                <c:pt idx="39">
                  <c:v>4.06</c:v>
                </c:pt>
                <c:pt idx="40">
                  <c:v>8.75</c:v>
                </c:pt>
                <c:pt idx="41">
                  <c:v>2.22</c:v>
                </c:pt>
                <c:pt idx="42">
                  <c:v>4.43</c:v>
                </c:pt>
                <c:pt idx="43">
                  <c:v>4.43</c:v>
                </c:pt>
                <c:pt idx="44">
                  <c:v>2.49</c:v>
                </c:pt>
                <c:pt idx="45">
                  <c:v>2.57</c:v>
                </c:pt>
                <c:pt idx="46">
                  <c:v>6.24</c:v>
                </c:pt>
                <c:pt idx="47">
                  <c:v>4.71</c:v>
                </c:pt>
                <c:pt idx="48">
                  <c:v>6.75</c:v>
                </c:pt>
                <c:pt idx="49">
                  <c:v>2.65</c:v>
                </c:pt>
                <c:pt idx="50">
                  <c:v>12.3</c:v>
                </c:pt>
                <c:pt idx="51">
                  <c:v>12.3</c:v>
                </c:pt>
                <c:pt idx="52">
                  <c:v>12.3</c:v>
                </c:pt>
                <c:pt idx="53">
                  <c:v>10.5</c:v>
                </c:pt>
                <c:pt idx="54">
                  <c:v>10.5</c:v>
                </c:pt>
                <c:pt idx="55">
                  <c:v>10.5</c:v>
                </c:pt>
                <c:pt idx="56">
                  <c:v>13</c:v>
                </c:pt>
                <c:pt idx="57">
                  <c:v>13</c:v>
                </c:pt>
                <c:pt idx="58">
                  <c:v>12</c:v>
                </c:pt>
                <c:pt idx="59">
                  <c:v>12</c:v>
                </c:pt>
                <c:pt idx="60">
                  <c:v>12</c:v>
                </c:pt>
                <c:pt idx="61">
                  <c:v>5.38</c:v>
                </c:pt>
                <c:pt idx="62">
                  <c:v>5.19</c:v>
                </c:pt>
                <c:pt idx="63">
                  <c:v>5.6</c:v>
                </c:pt>
                <c:pt idx="64">
                  <c:v>5</c:v>
                </c:pt>
                <c:pt idx="65">
                  <c:v>4.44</c:v>
                </c:pt>
                <c:pt idx="66">
                  <c:v>7.83</c:v>
                </c:pt>
                <c:pt idx="67">
                  <c:v>13.4</c:v>
                </c:pt>
                <c:pt idx="68">
                  <c:v>10.7</c:v>
                </c:pt>
                <c:pt idx="69">
                  <c:v>10.7</c:v>
                </c:pt>
                <c:pt idx="70">
                  <c:v>7.83</c:v>
                </c:pt>
                <c:pt idx="71">
                  <c:v>7.83</c:v>
                </c:pt>
                <c:pt idx="72">
                  <c:v>7.83</c:v>
                </c:pt>
                <c:pt idx="73">
                  <c:v>7.96</c:v>
                </c:pt>
                <c:pt idx="74">
                  <c:v>7.96</c:v>
                </c:pt>
                <c:pt idx="75">
                  <c:v>7.96</c:v>
                </c:pt>
                <c:pt idx="76">
                  <c:v>7.96</c:v>
                </c:pt>
                <c:pt idx="77">
                  <c:v>4.8</c:v>
                </c:pt>
                <c:pt idx="78">
                  <c:v>7.75</c:v>
                </c:pt>
                <c:pt idx="79">
                  <c:v>5.38</c:v>
                </c:pt>
                <c:pt idx="80">
                  <c:v>5.38</c:v>
                </c:pt>
                <c:pt idx="81">
                  <c:v>5.6</c:v>
                </c:pt>
                <c:pt idx="82">
                  <c:v>5.72</c:v>
                </c:pt>
                <c:pt idx="83">
                  <c:v>8.26</c:v>
                </c:pt>
                <c:pt idx="84">
                  <c:v>8.26</c:v>
                </c:pt>
                <c:pt idx="85">
                  <c:v>7.35</c:v>
                </c:pt>
                <c:pt idx="86">
                  <c:v>7.35</c:v>
                </c:pt>
                <c:pt idx="87">
                  <c:v>10</c:v>
                </c:pt>
                <c:pt idx="88">
                  <c:v>10</c:v>
                </c:pt>
                <c:pt idx="89">
                  <c:v>5.18</c:v>
                </c:pt>
                <c:pt idx="90">
                  <c:v>5.18</c:v>
                </c:pt>
                <c:pt idx="91">
                  <c:v>13.6</c:v>
                </c:pt>
                <c:pt idx="92">
                  <c:v>10.9</c:v>
                </c:pt>
                <c:pt idx="93">
                  <c:v>9.25</c:v>
                </c:pt>
                <c:pt idx="94">
                  <c:v>14.3</c:v>
                </c:pt>
                <c:pt idx="95">
                  <c:v>14.8</c:v>
                </c:pt>
                <c:pt idx="96">
                  <c:v>8.49</c:v>
                </c:pt>
                <c:pt idx="97">
                  <c:v>7.57</c:v>
                </c:pt>
                <c:pt idx="98">
                  <c:v>9.82</c:v>
                </c:pt>
                <c:pt idx="99">
                  <c:v>4.31</c:v>
                </c:pt>
                <c:pt idx="100">
                  <c:v>5.62</c:v>
                </c:pt>
                <c:pt idx="101">
                  <c:v>2.42</c:v>
                </c:pt>
                <c:pt idx="102">
                  <c:v>5.61</c:v>
                </c:pt>
                <c:pt idx="103">
                  <c:v>3.72</c:v>
                </c:pt>
                <c:pt idx="104">
                  <c:v>4.3</c:v>
                </c:pt>
                <c:pt idx="105">
                  <c:v>6.79</c:v>
                </c:pt>
                <c:pt idx="106">
                  <c:v>6.04</c:v>
                </c:pt>
                <c:pt idx="107">
                  <c:v>5.97</c:v>
                </c:pt>
                <c:pt idx="108">
                  <c:v>7.7</c:v>
                </c:pt>
                <c:pt idx="109">
                  <c:v>6.46</c:v>
                </c:pt>
                <c:pt idx="110">
                  <c:v>3.93</c:v>
                </c:pt>
                <c:pt idx="111">
                  <c:v>6.61</c:v>
                </c:pt>
                <c:pt idx="112">
                  <c:v>11.7</c:v>
                </c:pt>
                <c:pt idx="113">
                  <c:v>14.8</c:v>
                </c:pt>
                <c:pt idx="114">
                  <c:v>12.3</c:v>
                </c:pt>
                <c:pt idx="115">
                  <c:v>7.27</c:v>
                </c:pt>
                <c:pt idx="116">
                  <c:v>8.17</c:v>
                </c:pt>
                <c:pt idx="117">
                  <c:v>8.76</c:v>
                </c:pt>
                <c:pt idx="118">
                  <c:v>5.79</c:v>
                </c:pt>
                <c:pt idx="119">
                  <c:v>10.8</c:v>
                </c:pt>
                <c:pt idx="120">
                  <c:v>9.46</c:v>
                </c:pt>
                <c:pt idx="121">
                  <c:v>4.31</c:v>
                </c:pt>
                <c:pt idx="122">
                  <c:v>11.5</c:v>
                </c:pt>
                <c:pt idx="123">
                  <c:v>6.33</c:v>
                </c:pt>
                <c:pt idx="124">
                  <c:v>4.16</c:v>
                </c:pt>
                <c:pt idx="125">
                  <c:v>8.41</c:v>
                </c:pt>
                <c:pt idx="126">
                  <c:v>5.57</c:v>
                </c:pt>
                <c:pt idx="127">
                  <c:v>5.51</c:v>
                </c:pt>
                <c:pt idx="128">
                  <c:v>7.55</c:v>
                </c:pt>
                <c:pt idx="129">
                  <c:v>6.52</c:v>
                </c:pt>
                <c:pt idx="130">
                  <c:v>7.69</c:v>
                </c:pt>
                <c:pt idx="131">
                  <c:v>10.6</c:v>
                </c:pt>
                <c:pt idx="132">
                  <c:v>5.65</c:v>
                </c:pt>
                <c:pt idx="133">
                  <c:v>6.52</c:v>
                </c:pt>
                <c:pt idx="134">
                  <c:v>7.69</c:v>
                </c:pt>
                <c:pt idx="135">
                  <c:v>5.58</c:v>
                </c:pt>
                <c:pt idx="136">
                  <c:v>7.01</c:v>
                </c:pt>
                <c:pt idx="137">
                  <c:v>6.02</c:v>
                </c:pt>
                <c:pt idx="138">
                  <c:v>5.3</c:v>
                </c:pt>
                <c:pt idx="139">
                  <c:v>5.3</c:v>
                </c:pt>
                <c:pt idx="140">
                  <c:v>6.28</c:v>
                </c:pt>
                <c:pt idx="141">
                  <c:v>4.93</c:v>
                </c:pt>
                <c:pt idx="142">
                  <c:v>3.87</c:v>
                </c:pt>
                <c:pt idx="143">
                  <c:v>3.81</c:v>
                </c:pt>
                <c:pt idx="144">
                  <c:v>4.12</c:v>
                </c:pt>
                <c:pt idx="145">
                  <c:v>5.62</c:v>
                </c:pt>
                <c:pt idx="146">
                  <c:v>4.86</c:v>
                </c:pt>
                <c:pt idx="147">
                  <c:v>2.05</c:v>
                </c:pt>
                <c:pt idx="148">
                  <c:v>5.66</c:v>
                </c:pt>
                <c:pt idx="149">
                  <c:v>3.47</c:v>
                </c:pt>
                <c:pt idx="150">
                  <c:v>6.99</c:v>
                </c:pt>
                <c:pt idx="151">
                  <c:v>4.65</c:v>
                </c:pt>
                <c:pt idx="152">
                  <c:v>6.36</c:v>
                </c:pt>
                <c:pt idx="153">
                  <c:v>6.36</c:v>
                </c:pt>
                <c:pt idx="154">
                  <c:v>4.2</c:v>
                </c:pt>
                <c:pt idx="155">
                  <c:v>8.56</c:v>
                </c:pt>
                <c:pt idx="156">
                  <c:v>9.16</c:v>
                </c:pt>
                <c:pt idx="157">
                  <c:v>7.12</c:v>
                </c:pt>
                <c:pt idx="158">
                  <c:v>6.33</c:v>
                </c:pt>
                <c:pt idx="159">
                  <c:v>5.57</c:v>
                </c:pt>
                <c:pt idx="160">
                  <c:v>5.31</c:v>
                </c:pt>
                <c:pt idx="161">
                  <c:v>6.98</c:v>
                </c:pt>
                <c:pt idx="162">
                  <c:v>6.98</c:v>
                </c:pt>
                <c:pt idx="163">
                  <c:v>6.7</c:v>
                </c:pt>
                <c:pt idx="164">
                  <c:v>5.27</c:v>
                </c:pt>
                <c:pt idx="165">
                  <c:v>5.44</c:v>
                </c:pt>
                <c:pt idx="166">
                  <c:v>3.78</c:v>
                </c:pt>
                <c:pt idx="167">
                  <c:v>8.77</c:v>
                </c:pt>
                <c:pt idx="168">
                  <c:v>2.39</c:v>
                </c:pt>
                <c:pt idx="169">
                  <c:v>2.39</c:v>
                </c:pt>
                <c:pt idx="170">
                  <c:v>3.16</c:v>
                </c:pt>
                <c:pt idx="171">
                  <c:v>8.06</c:v>
                </c:pt>
                <c:pt idx="172">
                  <c:v>8.73</c:v>
                </c:pt>
                <c:pt idx="173">
                  <c:v>4.14</c:v>
                </c:pt>
                <c:pt idx="174">
                  <c:v>9.91</c:v>
                </c:pt>
                <c:pt idx="175">
                  <c:v>9.91</c:v>
                </c:pt>
                <c:pt idx="176">
                  <c:v>9.71</c:v>
                </c:pt>
                <c:pt idx="177">
                  <c:v>9.71</c:v>
                </c:pt>
                <c:pt idx="178">
                  <c:v>4.17</c:v>
                </c:pt>
                <c:pt idx="179">
                  <c:v>4.17</c:v>
                </c:pt>
                <c:pt idx="180">
                  <c:v>4.19</c:v>
                </c:pt>
                <c:pt idx="181">
                  <c:v>4.19</c:v>
                </c:pt>
                <c:pt idx="182">
                  <c:v>8.2</c:v>
                </c:pt>
                <c:pt idx="183">
                  <c:v>8.12</c:v>
                </c:pt>
                <c:pt idx="184">
                  <c:v>12.1</c:v>
                </c:pt>
                <c:pt idx="185">
                  <c:v>12.1</c:v>
                </c:pt>
                <c:pt idx="186">
                  <c:v>11.7</c:v>
                </c:pt>
                <c:pt idx="187">
                  <c:v>7.32</c:v>
                </c:pt>
                <c:pt idx="188">
                  <c:v>9.39</c:v>
                </c:pt>
                <c:pt idx="189">
                  <c:v>5.54</c:v>
                </c:pt>
                <c:pt idx="190">
                  <c:v>7.88</c:v>
                </c:pt>
                <c:pt idx="191">
                  <c:v>5.84</c:v>
                </c:pt>
                <c:pt idx="192">
                  <c:v>5.66</c:v>
                </c:pt>
                <c:pt idx="193">
                  <c:v>5.66</c:v>
                </c:pt>
                <c:pt idx="194">
                  <c:v>4.32</c:v>
                </c:pt>
                <c:pt idx="195">
                  <c:v>9.24</c:v>
                </c:pt>
                <c:pt idx="196">
                  <c:v>13.3</c:v>
                </c:pt>
                <c:pt idx="197">
                  <c:v>4.67</c:v>
                </c:pt>
                <c:pt idx="198">
                  <c:v>5.89</c:v>
                </c:pt>
                <c:pt idx="199">
                  <c:v>4.61</c:v>
                </c:pt>
                <c:pt idx="200">
                  <c:v>5.02</c:v>
                </c:pt>
                <c:pt idx="201">
                  <c:v>5.02</c:v>
                </c:pt>
                <c:pt idx="202">
                  <c:v>4.21</c:v>
                </c:pt>
                <c:pt idx="203">
                  <c:v>4.21</c:v>
                </c:pt>
                <c:pt idx="204">
                  <c:v>5.81</c:v>
                </c:pt>
                <c:pt idx="205">
                  <c:v>5.81</c:v>
                </c:pt>
                <c:pt idx="206">
                  <c:v>5.97</c:v>
                </c:pt>
                <c:pt idx="207">
                  <c:v>5.82</c:v>
                </c:pt>
                <c:pt idx="208">
                  <c:v>4.09</c:v>
                </c:pt>
                <c:pt idx="209">
                  <c:v>4.59</c:v>
                </c:pt>
                <c:pt idx="210">
                  <c:v>3.95</c:v>
                </c:pt>
                <c:pt idx="211">
                  <c:v>4.03</c:v>
                </c:pt>
                <c:pt idx="212">
                  <c:v>4.08</c:v>
                </c:pt>
                <c:pt idx="213">
                  <c:v>4.22</c:v>
                </c:pt>
                <c:pt idx="214">
                  <c:v>12.2</c:v>
                </c:pt>
                <c:pt idx="215">
                  <c:v>13.8</c:v>
                </c:pt>
                <c:pt idx="216">
                  <c:v>11.7</c:v>
                </c:pt>
                <c:pt idx="217">
                  <c:v>11.7</c:v>
                </c:pt>
                <c:pt idx="218">
                  <c:v>10.5</c:v>
                </c:pt>
                <c:pt idx="219">
                  <c:v>10.5</c:v>
                </c:pt>
              </c:numCache>
            </c:numRef>
          </c:yVal>
          <c:smooth val="0"/>
        </c:ser>
        <c:dLbls>
          <c:showLegendKey val="0"/>
          <c:showVal val="0"/>
          <c:showCatName val="0"/>
          <c:showSerName val="0"/>
          <c:showPercent val="0"/>
          <c:showBubbleSize val="0"/>
        </c:dLbls>
        <c:axId val="1552197471"/>
        <c:axId val="1555730303"/>
      </c:scatterChart>
      <c:valAx>
        <c:axId val="1552197471"/>
        <c:scaling>
          <c:orientation val="minMax"/>
          <c:max val="230"/>
          <c:min val="0"/>
        </c:scaling>
        <c:delete val="0"/>
        <c:axPos val="b"/>
        <c:majorGridlines>
          <c:spPr>
            <a:ln w="9525" cap="flat" cmpd="sng" algn="ctr">
              <a:solidFill>
                <a:schemeClr val="tx1">
                  <a:lumMod val="15000"/>
                  <a:lumOff val="85000"/>
                </a:schemeClr>
              </a:solidFill>
              <a:round/>
            </a:ln>
            <a:effectLst/>
          </c:spPr>
        </c:majorGridlines>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样品编号</a:t>
                </a:r>
              </a:p>
            </c:rich>
          </c:tx>
          <c:layout/>
          <c:overlay val="0"/>
          <c:spPr>
            <a:noFill/>
            <a:ln>
              <a:noFill/>
            </a:ln>
            <a:effectLst/>
          </c:spPr>
        </c:title>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555730303"/>
        <c:crosses val="autoZero"/>
        <c:crossBetween val="midCat"/>
      </c:valAx>
      <c:valAx>
        <c:axId val="1555730303"/>
        <c:scaling>
          <c:orientation val="minMax"/>
          <c:max val="16"/>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挥发性盐基氮含量</a:t>
                </a:r>
              </a:p>
            </c:rich>
          </c:tx>
          <c:layout>
            <c:manualLayout>
              <c:xMode val="edge"/>
              <c:yMode val="edge"/>
              <c:x val="0.0484261501210654"/>
              <c:y val="0.36038961038961"/>
            </c:manualLayout>
          </c:layout>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552197471"/>
        <c:crosses val="autoZero"/>
        <c:crossBetween val="midCat"/>
        <c:majorUnit val="1"/>
        <c:minorUnit val="1"/>
      </c:valAx>
      <c:spPr>
        <a:noFill/>
        <a:ln>
          <a:noFill/>
        </a:ln>
        <a:effectLst/>
      </c:spPr>
    </c:plotArea>
    <c:plotVisOnly val="1"/>
    <c:dispBlanksAs val="gap"/>
    <c:showDLblsOverMax val="0"/>
  </c:chart>
  <c:spPr>
    <a:noFill/>
    <a:ln w="9525" cap="flat" cmpd="sng" algn="ctr">
      <a:noFill/>
      <a:round/>
    </a:ln>
    <a:effectLst/>
  </c:spPr>
  <c:txPr>
    <a:bodyPr/>
    <a:lstStyle/>
    <a:p>
      <a:pPr>
        <a:defRPr lang="zh-CN" sz="1000"/>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00" b="0" i="0" u="none" strike="noStrike" kern="1200" spc="0" baseline="0">
                <a:solidFill>
                  <a:schemeClr val="tx1">
                    <a:lumMod val="65000"/>
                    <a:lumOff val="35000"/>
                  </a:schemeClr>
                </a:solidFill>
                <a:latin typeface="+mn-lt"/>
                <a:ea typeface="+mn-ea"/>
                <a:cs typeface="+mn-cs"/>
              </a:defRPr>
            </a:pPr>
            <a:r>
              <a:rPr lang="zh-CN" altLang="en-US" sz="1000"/>
              <a:t>过氧化值</a:t>
            </a:r>
            <a:endParaRPr lang="zh-CN" altLang="en-US" sz="1000"/>
          </a:p>
          <a:p>
            <a:pPr>
              <a:defRPr lang="zh-CN" sz="1000" b="0" i="0" u="none" strike="noStrike" kern="1200" spc="0" baseline="0">
                <a:solidFill>
                  <a:schemeClr val="tx1">
                    <a:lumMod val="65000"/>
                    <a:lumOff val="35000"/>
                  </a:schemeClr>
                </a:solidFill>
                <a:latin typeface="+mn-lt"/>
                <a:ea typeface="+mn-ea"/>
                <a:cs typeface="+mn-cs"/>
              </a:defRPr>
            </a:pPr>
            <a:r>
              <a:rPr lang="zh-CN" altLang="en-US" sz="1000"/>
              <a:t>（单位g/100g)</a:t>
            </a:r>
            <a:endParaRPr lang="zh-CN" altLang="en-US" sz="1000"/>
          </a:p>
        </c:rich>
      </c:tx>
      <c:layout>
        <c:manualLayout>
          <c:xMode val="edge"/>
          <c:yMode val="edge"/>
          <c:x val="0.395859699549989"/>
          <c:y val="0.0519791448148355"/>
        </c:manualLayout>
      </c:layout>
      <c:overlay val="0"/>
      <c:spPr>
        <a:noFill/>
        <a:ln>
          <a:noFill/>
        </a:ln>
        <a:effectLst/>
      </c:spPr>
    </c:title>
    <c:autoTitleDeleted val="0"/>
    <c:plotArea>
      <c:layout/>
      <c:scatterChart>
        <c:scatterStyle val="lineMarker"/>
        <c:varyColors val="0"/>
        <c:ser>
          <c:idx val="0"/>
          <c:order val="0"/>
          <c:spPr>
            <a:ln w="28575" cap="rnd">
              <a:noFill/>
              <a:round/>
            </a:ln>
            <a:effectLst/>
          </c:spPr>
          <c:marker>
            <c:symbol val="circle"/>
            <c:size val="5"/>
            <c:spPr>
              <a:solidFill>
                <a:schemeClr val="accent1"/>
              </a:solidFill>
              <a:ln w="9525">
                <a:solidFill>
                  <a:schemeClr val="accent1"/>
                </a:solidFill>
              </a:ln>
              <a:effectLst/>
            </c:spPr>
          </c:marker>
          <c:dLbls>
            <c:delete val="1"/>
          </c:dLbls>
          <c:yVal>
            <c:numRef>
              <c:f>'[牛肉饼理化检测数据--华测近三年.xlsx]过氧化值'!$B$2:$B$266</c:f>
              <c:numCache>
                <c:formatCode>General</c:formatCode>
                <c:ptCount val="231"/>
                <c:pt idx="0">
                  <c:v>0.051</c:v>
                </c:pt>
                <c:pt idx="1">
                  <c:v>0.074</c:v>
                </c:pt>
                <c:pt idx="2">
                  <c:v>0.0058</c:v>
                </c:pt>
                <c:pt idx="3">
                  <c:v>0.0058</c:v>
                </c:pt>
                <c:pt idx="4">
                  <c:v>0.011</c:v>
                </c:pt>
                <c:pt idx="5">
                  <c:v>0.011</c:v>
                </c:pt>
                <c:pt idx="6">
                  <c:v>0.017</c:v>
                </c:pt>
                <c:pt idx="7">
                  <c:v>0.017</c:v>
                </c:pt>
                <c:pt idx="8">
                  <c:v>0.018</c:v>
                </c:pt>
                <c:pt idx="9">
                  <c:v>0.014</c:v>
                </c:pt>
                <c:pt idx="10">
                  <c:v>0.02</c:v>
                </c:pt>
                <c:pt idx="11">
                  <c:v>0.014</c:v>
                </c:pt>
                <c:pt idx="12">
                  <c:v>0.011</c:v>
                </c:pt>
                <c:pt idx="13">
                  <c:v>0.034</c:v>
                </c:pt>
                <c:pt idx="14">
                  <c:v>0.12</c:v>
                </c:pt>
                <c:pt idx="15">
                  <c:v>0.11</c:v>
                </c:pt>
                <c:pt idx="16">
                  <c:v>0.14</c:v>
                </c:pt>
                <c:pt idx="17">
                  <c:v>0.0064</c:v>
                </c:pt>
                <c:pt idx="18">
                  <c:v>0.0054</c:v>
                </c:pt>
                <c:pt idx="19">
                  <c:v>0.0054</c:v>
                </c:pt>
                <c:pt idx="20">
                  <c:v>0.1</c:v>
                </c:pt>
                <c:pt idx="21">
                  <c:v>0.013</c:v>
                </c:pt>
                <c:pt idx="22">
                  <c:v>0.016</c:v>
                </c:pt>
                <c:pt idx="23">
                  <c:v>0.0057</c:v>
                </c:pt>
                <c:pt idx="24">
                  <c:v>0.0071</c:v>
                </c:pt>
                <c:pt idx="25">
                  <c:v>0.023</c:v>
                </c:pt>
                <c:pt idx="26">
                  <c:v>0.0011</c:v>
                </c:pt>
                <c:pt idx="27">
                  <c:v>0.0012</c:v>
                </c:pt>
                <c:pt idx="28">
                  <c:v>0.0012</c:v>
                </c:pt>
                <c:pt idx="29">
                  <c:v>0.0012</c:v>
                </c:pt>
                <c:pt idx="30">
                  <c:v>0.0012</c:v>
                </c:pt>
                <c:pt idx="31">
                  <c:v>0.043</c:v>
                </c:pt>
                <c:pt idx="32">
                  <c:v>0.034</c:v>
                </c:pt>
                <c:pt idx="33">
                  <c:v>0.038</c:v>
                </c:pt>
                <c:pt idx="34">
                  <c:v>0.026</c:v>
                </c:pt>
                <c:pt idx="35">
                  <c:v>0.026</c:v>
                </c:pt>
                <c:pt idx="36">
                  <c:v>0.026</c:v>
                </c:pt>
                <c:pt idx="37">
                  <c:v>0.042</c:v>
                </c:pt>
                <c:pt idx="38">
                  <c:v>0.033</c:v>
                </c:pt>
                <c:pt idx="39">
                  <c:v>0.0012</c:v>
                </c:pt>
                <c:pt idx="40">
                  <c:v>0.0012</c:v>
                </c:pt>
                <c:pt idx="41">
                  <c:v>0.005</c:v>
                </c:pt>
                <c:pt idx="42">
                  <c:v>0.011</c:v>
                </c:pt>
                <c:pt idx="43">
                  <c:v>0.043</c:v>
                </c:pt>
                <c:pt idx="44">
                  <c:v>0.028</c:v>
                </c:pt>
                <c:pt idx="45">
                  <c:v>0.0012</c:v>
                </c:pt>
                <c:pt idx="46">
                  <c:v>0.0012</c:v>
                </c:pt>
                <c:pt idx="47">
                  <c:v>0.0012</c:v>
                </c:pt>
                <c:pt idx="48">
                  <c:v>0.019</c:v>
                </c:pt>
                <c:pt idx="49">
                  <c:v>0.2</c:v>
                </c:pt>
                <c:pt idx="50">
                  <c:v>0.014</c:v>
                </c:pt>
                <c:pt idx="51">
                  <c:v>0.014</c:v>
                </c:pt>
                <c:pt idx="52">
                  <c:v>0.014</c:v>
                </c:pt>
                <c:pt idx="53">
                  <c:v>0.014</c:v>
                </c:pt>
                <c:pt idx="54">
                  <c:v>0.014</c:v>
                </c:pt>
                <c:pt idx="55">
                  <c:v>0.011</c:v>
                </c:pt>
                <c:pt idx="56">
                  <c:v>0.011</c:v>
                </c:pt>
                <c:pt idx="57">
                  <c:v>0.011</c:v>
                </c:pt>
                <c:pt idx="58">
                  <c:v>0.054</c:v>
                </c:pt>
                <c:pt idx="59">
                  <c:v>0.021</c:v>
                </c:pt>
                <c:pt idx="60">
                  <c:v>0.02</c:v>
                </c:pt>
                <c:pt idx="61">
                  <c:v>0.02</c:v>
                </c:pt>
                <c:pt idx="62">
                  <c:v>0.063</c:v>
                </c:pt>
                <c:pt idx="63">
                  <c:v>0.038</c:v>
                </c:pt>
                <c:pt idx="64">
                  <c:v>0.016</c:v>
                </c:pt>
                <c:pt idx="65">
                  <c:v>0.081</c:v>
                </c:pt>
                <c:pt idx="66">
                  <c:v>0.027</c:v>
                </c:pt>
                <c:pt idx="67">
                  <c:v>0.012</c:v>
                </c:pt>
                <c:pt idx="68">
                  <c:v>0.014</c:v>
                </c:pt>
                <c:pt idx="69">
                  <c:v>0.0059</c:v>
                </c:pt>
                <c:pt idx="70">
                  <c:v>0.0061</c:v>
                </c:pt>
                <c:pt idx="71">
                  <c:v>0.022</c:v>
                </c:pt>
                <c:pt idx="72">
                  <c:v>0.092</c:v>
                </c:pt>
                <c:pt idx="73">
                  <c:v>0.12</c:v>
                </c:pt>
                <c:pt idx="74">
                  <c:v>0.014</c:v>
                </c:pt>
                <c:pt idx="75">
                  <c:v>0.013</c:v>
                </c:pt>
                <c:pt idx="76">
                  <c:v>0.023</c:v>
                </c:pt>
                <c:pt idx="77">
                  <c:v>0.023</c:v>
                </c:pt>
                <c:pt idx="78">
                  <c:v>0.011</c:v>
                </c:pt>
                <c:pt idx="79">
                  <c:v>0.039</c:v>
                </c:pt>
                <c:pt idx="80">
                  <c:v>0.15</c:v>
                </c:pt>
                <c:pt idx="81">
                  <c:v>0.04</c:v>
                </c:pt>
                <c:pt idx="82">
                  <c:v>0.068</c:v>
                </c:pt>
                <c:pt idx="83">
                  <c:v>0.031</c:v>
                </c:pt>
                <c:pt idx="84">
                  <c:v>0.031</c:v>
                </c:pt>
                <c:pt idx="85">
                  <c:v>0.031</c:v>
                </c:pt>
                <c:pt idx="86">
                  <c:v>0.033</c:v>
                </c:pt>
                <c:pt idx="87">
                  <c:v>0.033</c:v>
                </c:pt>
                <c:pt idx="88">
                  <c:v>0.041</c:v>
                </c:pt>
                <c:pt idx="89">
                  <c:v>0.035</c:v>
                </c:pt>
                <c:pt idx="90">
                  <c:v>0.035</c:v>
                </c:pt>
                <c:pt idx="91">
                  <c:v>0.01</c:v>
                </c:pt>
                <c:pt idx="92">
                  <c:v>0.01</c:v>
                </c:pt>
                <c:pt idx="93">
                  <c:v>0.00025</c:v>
                </c:pt>
                <c:pt idx="94">
                  <c:v>0.018</c:v>
                </c:pt>
                <c:pt idx="95">
                  <c:v>0.00024</c:v>
                </c:pt>
                <c:pt idx="96">
                  <c:v>0.00024</c:v>
                </c:pt>
                <c:pt idx="97">
                  <c:v>0.0002</c:v>
                </c:pt>
                <c:pt idx="98">
                  <c:v>0.014</c:v>
                </c:pt>
                <c:pt idx="99">
                  <c:v>0.011</c:v>
                </c:pt>
                <c:pt idx="100">
                  <c:v>0.00024</c:v>
                </c:pt>
                <c:pt idx="101">
                  <c:v>0.00024</c:v>
                </c:pt>
                <c:pt idx="102">
                  <c:v>0.00023</c:v>
                </c:pt>
                <c:pt idx="103">
                  <c:v>0.02</c:v>
                </c:pt>
                <c:pt idx="104">
                  <c:v>0.03</c:v>
                </c:pt>
                <c:pt idx="105">
                  <c:v>0.00023</c:v>
                </c:pt>
                <c:pt idx="106">
                  <c:v>0.015</c:v>
                </c:pt>
                <c:pt idx="107">
                  <c:v>0.0072</c:v>
                </c:pt>
                <c:pt idx="108">
                  <c:v>0.018</c:v>
                </c:pt>
                <c:pt idx="109">
                  <c:v>0.015</c:v>
                </c:pt>
                <c:pt idx="110">
                  <c:v>0.019</c:v>
                </c:pt>
                <c:pt idx="111">
                  <c:v>0.04</c:v>
                </c:pt>
                <c:pt idx="112">
                  <c:v>0.022</c:v>
                </c:pt>
                <c:pt idx="113">
                  <c:v>0.043</c:v>
                </c:pt>
                <c:pt idx="114">
                  <c:v>0.042</c:v>
                </c:pt>
                <c:pt idx="115">
                  <c:v>0.0068</c:v>
                </c:pt>
                <c:pt idx="116">
                  <c:v>0.018</c:v>
                </c:pt>
                <c:pt idx="117">
                  <c:v>0.014</c:v>
                </c:pt>
                <c:pt idx="118">
                  <c:v>0.0025</c:v>
                </c:pt>
                <c:pt idx="119">
                  <c:v>0.0013</c:v>
                </c:pt>
                <c:pt idx="120">
                  <c:v>0.011</c:v>
                </c:pt>
                <c:pt idx="121">
                  <c:v>0.0012</c:v>
                </c:pt>
                <c:pt idx="122">
                  <c:v>0.0012</c:v>
                </c:pt>
                <c:pt idx="123">
                  <c:v>0.014</c:v>
                </c:pt>
                <c:pt idx="124">
                  <c:v>0.014</c:v>
                </c:pt>
                <c:pt idx="125">
                  <c:v>0.012</c:v>
                </c:pt>
                <c:pt idx="126">
                  <c:v>0.012</c:v>
                </c:pt>
                <c:pt idx="127">
                  <c:v>0.0012</c:v>
                </c:pt>
                <c:pt idx="128">
                  <c:v>0.0012</c:v>
                </c:pt>
                <c:pt idx="129">
                  <c:v>0.0012</c:v>
                </c:pt>
                <c:pt idx="130">
                  <c:v>0.017</c:v>
                </c:pt>
                <c:pt idx="131">
                  <c:v>0.016</c:v>
                </c:pt>
                <c:pt idx="132">
                  <c:v>0.033</c:v>
                </c:pt>
                <c:pt idx="133">
                  <c:v>0.0035</c:v>
                </c:pt>
                <c:pt idx="134">
                  <c:v>0.023</c:v>
                </c:pt>
                <c:pt idx="135">
                  <c:v>0.02</c:v>
                </c:pt>
                <c:pt idx="136">
                  <c:v>0.023</c:v>
                </c:pt>
                <c:pt idx="137">
                  <c:v>0.023</c:v>
                </c:pt>
                <c:pt idx="138">
                  <c:v>0.05</c:v>
                </c:pt>
                <c:pt idx="139">
                  <c:v>0.05</c:v>
                </c:pt>
                <c:pt idx="140">
                  <c:v>0.043</c:v>
                </c:pt>
                <c:pt idx="141">
                  <c:v>0.043</c:v>
                </c:pt>
                <c:pt idx="142">
                  <c:v>0.027</c:v>
                </c:pt>
                <c:pt idx="143">
                  <c:v>0.066</c:v>
                </c:pt>
                <c:pt idx="144">
                  <c:v>0.0099</c:v>
                </c:pt>
                <c:pt idx="145">
                  <c:v>0.013</c:v>
                </c:pt>
                <c:pt idx="146">
                  <c:v>0.032</c:v>
                </c:pt>
                <c:pt idx="147">
                  <c:v>0.006</c:v>
                </c:pt>
                <c:pt idx="148">
                  <c:v>0.006</c:v>
                </c:pt>
                <c:pt idx="149">
                  <c:v>0.013</c:v>
                </c:pt>
                <c:pt idx="150">
                  <c:v>0.006</c:v>
                </c:pt>
                <c:pt idx="151">
                  <c:v>0.006</c:v>
                </c:pt>
                <c:pt idx="152">
                  <c:v>0.021</c:v>
                </c:pt>
                <c:pt idx="153">
                  <c:v>0.0029</c:v>
                </c:pt>
                <c:pt idx="154">
                  <c:v>0.0029</c:v>
                </c:pt>
                <c:pt idx="155">
                  <c:v>0.025</c:v>
                </c:pt>
                <c:pt idx="156">
                  <c:v>0.0041</c:v>
                </c:pt>
                <c:pt idx="157">
                  <c:v>0.012</c:v>
                </c:pt>
                <c:pt idx="158">
                  <c:v>0.008</c:v>
                </c:pt>
                <c:pt idx="159">
                  <c:v>0.008</c:v>
                </c:pt>
                <c:pt idx="160">
                  <c:v>0.03</c:v>
                </c:pt>
                <c:pt idx="161">
                  <c:v>0.03</c:v>
                </c:pt>
                <c:pt idx="162">
                  <c:v>0.03</c:v>
                </c:pt>
                <c:pt idx="163">
                  <c:v>0.0016</c:v>
                </c:pt>
                <c:pt idx="164">
                  <c:v>0.022</c:v>
                </c:pt>
                <c:pt idx="165">
                  <c:v>0.022</c:v>
                </c:pt>
                <c:pt idx="166">
                  <c:v>0.019</c:v>
                </c:pt>
                <c:pt idx="167">
                  <c:v>0.0082</c:v>
                </c:pt>
                <c:pt idx="168">
                  <c:v>0.0082</c:v>
                </c:pt>
                <c:pt idx="169">
                  <c:v>0.11</c:v>
                </c:pt>
                <c:pt idx="170">
                  <c:v>0.11</c:v>
                </c:pt>
                <c:pt idx="171">
                  <c:v>0.012</c:v>
                </c:pt>
                <c:pt idx="172">
                  <c:v>0.002</c:v>
                </c:pt>
                <c:pt idx="173">
                  <c:v>0.2</c:v>
                </c:pt>
                <c:pt idx="174">
                  <c:v>0.013</c:v>
                </c:pt>
                <c:pt idx="175">
                  <c:v>0.013</c:v>
                </c:pt>
                <c:pt idx="176">
                  <c:v>0.0017</c:v>
                </c:pt>
                <c:pt idx="177">
                  <c:v>0.01</c:v>
                </c:pt>
                <c:pt idx="178">
                  <c:v>0.0098</c:v>
                </c:pt>
                <c:pt idx="179">
                  <c:v>0.0035</c:v>
                </c:pt>
                <c:pt idx="180">
                  <c:v>0.0035</c:v>
                </c:pt>
                <c:pt idx="181">
                  <c:v>0.023</c:v>
                </c:pt>
                <c:pt idx="182">
                  <c:v>0.014</c:v>
                </c:pt>
                <c:pt idx="183">
                  <c:v>0.021</c:v>
                </c:pt>
                <c:pt idx="184">
                  <c:v>0.019</c:v>
                </c:pt>
                <c:pt idx="185">
                  <c:v>0.019</c:v>
                </c:pt>
                <c:pt idx="186">
                  <c:v>0.0052</c:v>
                </c:pt>
                <c:pt idx="187">
                  <c:v>0.0052</c:v>
                </c:pt>
                <c:pt idx="188">
                  <c:v>0.0094</c:v>
                </c:pt>
                <c:pt idx="189">
                  <c:v>0.0048</c:v>
                </c:pt>
                <c:pt idx="190">
                  <c:v>0.014</c:v>
                </c:pt>
                <c:pt idx="191">
                  <c:v>0.012</c:v>
                </c:pt>
                <c:pt idx="192">
                  <c:v>0.0049</c:v>
                </c:pt>
                <c:pt idx="193">
                  <c:v>0.047</c:v>
                </c:pt>
                <c:pt idx="194">
                  <c:v>0.017</c:v>
                </c:pt>
                <c:pt idx="195">
                  <c:v>0.0025</c:v>
                </c:pt>
                <c:pt idx="196">
                  <c:v>0.0015</c:v>
                </c:pt>
                <c:pt idx="197">
                  <c:v>0.012</c:v>
                </c:pt>
                <c:pt idx="198">
                  <c:v>0.055</c:v>
                </c:pt>
                <c:pt idx="199">
                  <c:v>0.022</c:v>
                </c:pt>
                <c:pt idx="200">
                  <c:v>0.022</c:v>
                </c:pt>
                <c:pt idx="201">
                  <c:v>0.16</c:v>
                </c:pt>
                <c:pt idx="202">
                  <c:v>0.016</c:v>
                </c:pt>
                <c:pt idx="203">
                  <c:v>0.027</c:v>
                </c:pt>
                <c:pt idx="204">
                  <c:v>0.027</c:v>
                </c:pt>
                <c:pt idx="205">
                  <c:v>0.019</c:v>
                </c:pt>
                <c:pt idx="206">
                  <c:v>0.026</c:v>
                </c:pt>
                <c:pt idx="207">
                  <c:v>0.06</c:v>
                </c:pt>
                <c:pt idx="208">
                  <c:v>0.06</c:v>
                </c:pt>
                <c:pt idx="209">
                  <c:v>0.089</c:v>
                </c:pt>
                <c:pt idx="210">
                  <c:v>0.092</c:v>
                </c:pt>
                <c:pt idx="211">
                  <c:v>0.092</c:v>
                </c:pt>
                <c:pt idx="212">
                  <c:v>0.045</c:v>
                </c:pt>
                <c:pt idx="213">
                  <c:v>0.012</c:v>
                </c:pt>
                <c:pt idx="214">
                  <c:v>0.015</c:v>
                </c:pt>
                <c:pt idx="215">
                  <c:v>0.029</c:v>
                </c:pt>
                <c:pt idx="216">
                  <c:v>0.029</c:v>
                </c:pt>
                <c:pt idx="217">
                  <c:v>0.016</c:v>
                </c:pt>
                <c:pt idx="218">
                  <c:v>0.016</c:v>
                </c:pt>
                <c:pt idx="219">
                  <c:v>0.07</c:v>
                </c:pt>
                <c:pt idx="220">
                  <c:v>0.061</c:v>
                </c:pt>
                <c:pt idx="221">
                  <c:v>0.065</c:v>
                </c:pt>
                <c:pt idx="222">
                  <c:v>0.025</c:v>
                </c:pt>
                <c:pt idx="223">
                  <c:v>0.035</c:v>
                </c:pt>
                <c:pt idx="224">
                  <c:v>0.034</c:v>
                </c:pt>
                <c:pt idx="225">
                  <c:v>0.03</c:v>
                </c:pt>
                <c:pt idx="226">
                  <c:v>0.0094</c:v>
                </c:pt>
                <c:pt idx="227">
                  <c:v>0.014</c:v>
                </c:pt>
                <c:pt idx="228">
                  <c:v>0.014</c:v>
                </c:pt>
                <c:pt idx="229">
                  <c:v>0.001</c:v>
                </c:pt>
                <c:pt idx="230">
                  <c:v>0.23</c:v>
                </c:pt>
              </c:numCache>
            </c:numRef>
          </c:yVal>
          <c:smooth val="0"/>
        </c:ser>
        <c:dLbls>
          <c:showLegendKey val="0"/>
          <c:showVal val="0"/>
          <c:showCatName val="0"/>
          <c:showSerName val="0"/>
          <c:showPercent val="0"/>
          <c:showBubbleSize val="0"/>
        </c:dLbls>
        <c:axId val="1564290527"/>
        <c:axId val="1009569839"/>
      </c:scatterChart>
      <c:valAx>
        <c:axId val="156429052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样品编号</a:t>
                </a:r>
              </a:p>
            </c:rich>
          </c:tx>
          <c:layout/>
          <c:overlay val="0"/>
          <c:spPr>
            <a:noFill/>
            <a:ln>
              <a:noFill/>
            </a:ln>
            <a:effectLst/>
          </c:spPr>
        </c:title>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09569839"/>
        <c:crosses val="autoZero"/>
        <c:crossBetween val="midCat"/>
      </c:valAx>
      <c:valAx>
        <c:axId val="10095698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t>过氧化值</a:t>
                </a:r>
              </a:p>
            </c:rich>
          </c:tx>
          <c:layout/>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64290527"/>
        <c:crosses val="autoZero"/>
        <c:crossBetween val="midCat"/>
      </c:valAx>
      <c:spPr>
        <a:noFill/>
        <a:ln>
          <a:noFill/>
        </a:ln>
        <a:effectLst/>
      </c:spPr>
    </c:plotArea>
    <c:plotVisOnly val="1"/>
    <c:dispBlanksAs val="gap"/>
    <c:showDLblsOverMax val="0"/>
  </c:chart>
  <c:spPr>
    <a:no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200" b="0" i="0" u="none" strike="noStrike" kern="1200" spc="0" baseline="0">
                <a:solidFill>
                  <a:schemeClr val="tx1">
                    <a:lumMod val="65000"/>
                    <a:lumOff val="35000"/>
                  </a:schemeClr>
                </a:solidFill>
                <a:latin typeface="+mn-lt"/>
                <a:ea typeface="+mn-ea"/>
                <a:cs typeface="+mn-cs"/>
              </a:defRPr>
            </a:pPr>
            <a:r>
              <a:rPr lang="zh-CN" altLang="en-US" sz="1000"/>
              <a:t>不同样品在不同保存周期下的过氧化值</a:t>
            </a:r>
            <a:endParaRPr lang="zh-CN" altLang="en-US" sz="1000"/>
          </a:p>
          <a:p>
            <a:pPr>
              <a:defRPr lang="zh-CN" sz="1200" b="0" i="0" u="none" strike="noStrike" kern="1200" spc="0" baseline="0">
                <a:solidFill>
                  <a:schemeClr val="tx1">
                    <a:lumMod val="65000"/>
                    <a:lumOff val="35000"/>
                  </a:schemeClr>
                </a:solidFill>
                <a:latin typeface="+mn-lt"/>
                <a:ea typeface="+mn-ea"/>
                <a:cs typeface="+mn-cs"/>
              </a:defRPr>
            </a:pPr>
            <a:r>
              <a:rPr lang="zh-CN" altLang="en-US" sz="1000"/>
              <a:t>（单位</a:t>
            </a:r>
            <a:r>
              <a:rPr lang="en-US" altLang="zh-CN" sz="1000"/>
              <a:t>g/100g</a:t>
            </a:r>
            <a:r>
              <a:rPr altLang="en-US" sz="1000"/>
              <a:t>）</a:t>
            </a:r>
            <a:endParaRPr altLang="en-US" sz="1000"/>
          </a:p>
        </c:rich>
      </c:tx>
      <c:layout>
        <c:manualLayout>
          <c:xMode val="edge"/>
          <c:yMode val="edge"/>
          <c:x val="0.270578153038844"/>
          <c:y val="0.0376296296296296"/>
        </c:manualLayout>
      </c:layout>
      <c:overlay val="0"/>
      <c:spPr>
        <a:noFill/>
        <a:ln>
          <a:noFill/>
        </a:ln>
        <a:effectLst/>
      </c:spPr>
    </c:title>
    <c:autoTitleDeleted val="0"/>
    <c:plotArea>
      <c:layout/>
      <c:scatterChart>
        <c:scatterStyle val="lineMarker"/>
        <c:varyColors val="0"/>
        <c:ser>
          <c:idx val="0"/>
          <c:order val="0"/>
          <c:tx>
            <c:strRef>
              <c:f>'[牛肉饼理化检测数据--华测近三年.xlsx]过氧化值'!$C$1</c:f>
              <c:strCache>
                <c:ptCount val="1"/>
                <c:pt idx="0">
                  <c:v>过氧化值（g/100g）</c:v>
                </c:pt>
              </c:strCache>
            </c:strRef>
          </c:tx>
          <c:spPr>
            <a:ln w="28575" cap="rnd">
              <a:noFill/>
              <a:round/>
            </a:ln>
            <a:effectLst/>
          </c:spPr>
          <c:marker>
            <c:symbol val="circle"/>
            <c:size val="5"/>
            <c:spPr>
              <a:solidFill>
                <a:schemeClr val="accent1"/>
              </a:solidFill>
              <a:ln w="9525">
                <a:solidFill>
                  <a:schemeClr val="accent1"/>
                </a:solidFill>
              </a:ln>
              <a:effectLst/>
            </c:spPr>
          </c:marker>
          <c:dLbls>
            <c:delete val="1"/>
          </c:dLbls>
          <c:xVal>
            <c:numRef>
              <c:f>'[牛肉饼理化检测数据--华测近三年.xlsx]过氧化值'!$B$2:$B$24</c:f>
              <c:numCache>
                <c:formatCode>General</c:formatCode>
                <c:ptCount val="23"/>
                <c:pt idx="0">
                  <c:v>1</c:v>
                </c:pt>
                <c:pt idx="1">
                  <c:v>1</c:v>
                </c:pt>
                <c:pt idx="2">
                  <c:v>1</c:v>
                </c:pt>
                <c:pt idx="3">
                  <c:v>1</c:v>
                </c:pt>
                <c:pt idx="4">
                  <c:v>1</c:v>
                </c:pt>
                <c:pt idx="5">
                  <c:v>1</c:v>
                </c:pt>
                <c:pt idx="6">
                  <c:v>2</c:v>
                </c:pt>
                <c:pt idx="7">
                  <c:v>2</c:v>
                </c:pt>
                <c:pt idx="8">
                  <c:v>2</c:v>
                </c:pt>
                <c:pt idx="9">
                  <c:v>2</c:v>
                </c:pt>
                <c:pt idx="10">
                  <c:v>2</c:v>
                </c:pt>
                <c:pt idx="11">
                  <c:v>2</c:v>
                </c:pt>
                <c:pt idx="12">
                  <c:v>2</c:v>
                </c:pt>
                <c:pt idx="13">
                  <c:v>2</c:v>
                </c:pt>
                <c:pt idx="14">
                  <c:v>3</c:v>
                </c:pt>
                <c:pt idx="15">
                  <c:v>3</c:v>
                </c:pt>
                <c:pt idx="16">
                  <c:v>3</c:v>
                </c:pt>
                <c:pt idx="17">
                  <c:v>3</c:v>
                </c:pt>
                <c:pt idx="18">
                  <c:v>6</c:v>
                </c:pt>
                <c:pt idx="19">
                  <c:v>11</c:v>
                </c:pt>
                <c:pt idx="20">
                  <c:v>11</c:v>
                </c:pt>
                <c:pt idx="21">
                  <c:v>11</c:v>
                </c:pt>
                <c:pt idx="22">
                  <c:v>16</c:v>
                </c:pt>
              </c:numCache>
            </c:numRef>
          </c:xVal>
          <c:yVal>
            <c:numRef>
              <c:f>'[牛肉饼理化检测数据--华测近三年.xlsx]过氧化值'!$C$2:$C$24</c:f>
              <c:numCache>
                <c:formatCode>General</c:formatCode>
                <c:ptCount val="23"/>
                <c:pt idx="0">
                  <c:v>0.037</c:v>
                </c:pt>
                <c:pt idx="1">
                  <c:v>0.014</c:v>
                </c:pt>
                <c:pt idx="2">
                  <c:v>0.014</c:v>
                </c:pt>
                <c:pt idx="3">
                  <c:v>0.044</c:v>
                </c:pt>
                <c:pt idx="4">
                  <c:v>0.024</c:v>
                </c:pt>
                <c:pt idx="5">
                  <c:v>0.064</c:v>
                </c:pt>
                <c:pt idx="6">
                  <c:v>0.011</c:v>
                </c:pt>
                <c:pt idx="7">
                  <c:v>0.024</c:v>
                </c:pt>
                <c:pt idx="8">
                  <c:v>0.016</c:v>
                </c:pt>
                <c:pt idx="9">
                  <c:v>0.025</c:v>
                </c:pt>
                <c:pt idx="10">
                  <c:v>0.001</c:v>
                </c:pt>
                <c:pt idx="11">
                  <c:v>0.013</c:v>
                </c:pt>
                <c:pt idx="12">
                  <c:v>0.014</c:v>
                </c:pt>
                <c:pt idx="13">
                  <c:v>0.026</c:v>
                </c:pt>
                <c:pt idx="14">
                  <c:v>0.031</c:v>
                </c:pt>
                <c:pt idx="15">
                  <c:v>0.04</c:v>
                </c:pt>
                <c:pt idx="16">
                  <c:v>0.014</c:v>
                </c:pt>
                <c:pt idx="17">
                  <c:v>0.038</c:v>
                </c:pt>
                <c:pt idx="18">
                  <c:v>0.038</c:v>
                </c:pt>
                <c:pt idx="19">
                  <c:v>0.039</c:v>
                </c:pt>
                <c:pt idx="20">
                  <c:v>0.033</c:v>
                </c:pt>
                <c:pt idx="21">
                  <c:v>0.021</c:v>
                </c:pt>
                <c:pt idx="22">
                  <c:v>0.037</c:v>
                </c:pt>
              </c:numCache>
            </c:numRef>
          </c:yVal>
          <c:smooth val="0"/>
        </c:ser>
        <c:dLbls>
          <c:showLegendKey val="0"/>
          <c:showVal val="0"/>
          <c:showCatName val="0"/>
          <c:showSerName val="0"/>
          <c:showPercent val="0"/>
          <c:showBubbleSize val="0"/>
        </c:dLbls>
        <c:axId val="1557631135"/>
        <c:axId val="1007024559"/>
      </c:scatterChart>
      <c:valAx>
        <c:axId val="155763113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sz="1000"/>
                  <a:t>保存周期（月）</a:t>
                </a:r>
                <a:endParaRPr lang="en-US" altLang="zh-CN" sz="1000"/>
              </a:p>
            </c:rich>
          </c:tx>
          <c:layout/>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007024559"/>
        <c:crosses val="autoZero"/>
        <c:crossBetween val="midCat"/>
      </c:valAx>
      <c:valAx>
        <c:axId val="100702455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r>
                  <a:rPr lang="zh-CN" altLang="en-US" sz="1000"/>
                  <a:t>过氧化值</a:t>
                </a:r>
                <a:endParaRPr lang="zh-CN" altLang="en-US" sz="1000"/>
              </a:p>
            </c:rich>
          </c:tx>
          <c:layout/>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p>
        </c:txPr>
        <c:crossAx val="1557631135"/>
        <c:crosses val="autoZero"/>
        <c:crossBetween val="midCat"/>
      </c:valAx>
      <c:spPr>
        <a:noFill/>
        <a:ln>
          <a:noFill/>
        </a:ln>
        <a:effectLst/>
      </c:spPr>
    </c:plotArea>
    <c:plotVisOnly val="1"/>
    <c:dispBlanksAs val="gap"/>
    <c:showDLblsOverMax val="0"/>
  </c:chart>
  <c:spPr>
    <a:noFill/>
    <a:ln w="9525" cap="flat" cmpd="sng" algn="ctr">
      <a:noFill/>
      <a:round/>
    </a:ln>
    <a:effectLst/>
  </c:spPr>
  <c:txPr>
    <a:bodyPr/>
    <a:lstStyle/>
    <a:p>
      <a:pPr>
        <a:defRPr lang="zh-CN" sz="1000"/>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5831</Words>
  <Characters>6612</Characters>
  <Lines>0</Lines>
  <Paragraphs>0</Paragraphs>
  <TotalTime>3</TotalTime>
  <ScaleCrop>false</ScaleCrop>
  <LinksUpToDate>false</LinksUpToDate>
  <CharactersWithSpaces>6914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2024-07-10T05:07:00Z</dcterms:created>
  <dc:creator>LIU Wenqiu</dc:creator>
  <cp:lastModifiedBy>LIU Wenqiu</cp:lastModifiedBy>
  <dcterms:modified xsi:type="dcterms:W3CDTF">2024-07-22T08:51:02Z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3273BA04427349A19C161C672F196A1B_12</vt:lpwstr>
  </property>
</Properties>
</file>