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8"/>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14:paraId="44CABB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00A8CBE4">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535E4F59">
            <w:pPr>
              <w:pStyle w:val="18"/>
              <w:framePr w:wrap="notBeside" w:vAnchor="page" w:hAnchor="page" w:x="1372" w:y="568"/>
              <w:tabs>
                <w:tab w:val="clear" w:pos="4153"/>
                <w:tab w:val="clear" w:pos="8306"/>
              </w:tabs>
              <w:spacing w:line="240" w:lineRule="auto"/>
              <w:jc w:val="both"/>
              <w:rPr>
                <w:rFonts w:ascii="黑体" w:hAnsi="黑体" w:eastAsia="黑体"/>
                <w:sz w:val="21"/>
                <w:szCs w:val="21"/>
              </w:rPr>
            </w:pPr>
            <w:bookmarkStart w:id="0" w:name="ICS"/>
            <w:r>
              <w:rPr>
                <w:rFonts w:ascii="黑体" w:hAnsi="黑体" w:eastAsia="黑体" w:cs="Times New Roman"/>
                <w:kern w:val="2"/>
                <w:sz w:val="21"/>
                <w:szCs w:val="21"/>
                <w:lang w:val="en-US" w:eastAsia="zh-CN" w:bidi="ar-SA"/>
              </w:rPr>
              <w:fldChar w:fldCharType="begin">
                <w:ffData>
                  <w:name w:val="ICS"/>
                  <w:enabled/>
                  <w:calcOnExit w:val="0"/>
                  <w:textInput>
                    <w:default w:val="67.120.10"/>
                  </w:textInput>
                </w:ffData>
              </w:fldChar>
            </w:r>
            <w:r>
              <w:rPr>
                <w:rFonts w:ascii="黑体" w:hAnsi="黑体" w:eastAsia="黑体" w:cs="Times New Roman"/>
                <w:kern w:val="2"/>
                <w:sz w:val="21"/>
                <w:szCs w:val="21"/>
                <w:lang w:val="en-US" w:eastAsia="zh-CN" w:bidi="ar-SA"/>
              </w:rPr>
              <w:instrText xml:space="preserve">FORMTEXT</w:instrText>
            </w:r>
            <w:r>
              <w:rPr>
                <w:rFonts w:ascii="黑体" w:hAnsi="黑体" w:eastAsia="黑体" w:cs="Times New Roman"/>
                <w:kern w:val="2"/>
                <w:sz w:val="21"/>
                <w:szCs w:val="21"/>
                <w:lang w:val="en-US" w:eastAsia="zh-CN" w:bidi="ar-SA"/>
              </w:rPr>
              <w:fldChar w:fldCharType="separate"/>
            </w:r>
            <w:r>
              <w:rPr>
                <w:rFonts w:ascii="黑体" w:hAnsi="黑体" w:eastAsia="黑体" w:cs="Times New Roman"/>
                <w:kern w:val="2"/>
                <w:sz w:val="21"/>
                <w:szCs w:val="21"/>
                <w:lang w:val="en-US" w:eastAsia="zh-CN" w:bidi="ar-SA"/>
              </w:rPr>
              <w:t>67.120.10</w:t>
            </w:r>
            <w:r>
              <w:rPr>
                <w:rFonts w:ascii="黑体" w:hAnsi="黑体" w:eastAsia="黑体" w:cs="Times New Roman"/>
                <w:kern w:val="2"/>
                <w:sz w:val="21"/>
                <w:szCs w:val="21"/>
                <w:lang w:val="en-US" w:eastAsia="zh-CN" w:bidi="ar-SA"/>
              </w:rPr>
              <w:fldChar w:fldCharType="end"/>
            </w:r>
            <w:bookmarkEnd w:id="0"/>
          </w:p>
        </w:tc>
      </w:tr>
      <w:tr w14:paraId="7E83E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72D25D58">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tbl>
            <w:tblPr>
              <w:tblStyle w:val="28"/>
              <w:tblpPr w:vertAnchor="page" w:horzAnchor="margin" w:tblpX="1" w:tblpY="341"/>
              <w:tblOverlap w:val="never"/>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0" w:type="dxa"/>
                <w:bottom w:w="0" w:type="dxa"/>
                <w:right w:w="113" w:type="dxa"/>
              </w:tblCellMar>
            </w:tblPr>
            <w:tblGrid>
              <w:gridCol w:w="9242"/>
            </w:tblGrid>
            <w:tr w14:paraId="3A02FD25">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113" w:type="dxa"/>
                </w:tblCellMar>
              </w:tblPrEx>
              <w:trPr>
                <w:trHeight w:val="1021" w:hRule="exact"/>
              </w:trPr>
              <w:tc>
                <w:tcPr>
                  <w:tcW w:w="9242" w:type="dxa"/>
                  <w:vAlign w:val="center"/>
                </w:tcPr>
                <w:p w14:paraId="1FE648C5">
                  <w:pPr>
                    <w:pStyle w:val="50"/>
                    <w:framePr w:wrap="notBeside" w:vAnchor="page" w:hAnchor="page" w:x="1372" w:y="568"/>
                    <w:ind w:left="420" w:right="624"/>
                    <w:rPr>
                      <w:rFonts w:ascii="宋体" w:hAnsi="宋体"/>
                      <w:sz w:val="28"/>
                      <w:szCs w:val="28"/>
                    </w:rPr>
                  </w:pPr>
                  <w:r>
                    <w:drawing>
                      <wp:inline distT="0" distB="0" distL="0" distR="0">
                        <wp:extent cx="414655" cy="43053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000000部门项目\09标准化插件开发\程序源代码\StandardEditor_ShanDongKeXieYuan\团标首页面字母T.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414720" cy="430560"/>
                                </a:xfrm>
                                <a:prstGeom prst="rect">
                                  <a:avLst/>
                                </a:prstGeom>
                                <a:noFill/>
                                <a:ln>
                                  <a:noFill/>
                                </a:ln>
                              </pic:spPr>
                            </pic:pic>
                          </a:graphicData>
                        </a:graphic>
                      </wp:inline>
                    </w:drawing>
                  </w:r>
                  <w:r>
                    <w:drawing>
                      <wp:inline distT="0" distB="0" distL="0" distR="0">
                        <wp:extent cx="170815" cy="436245"/>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000000部门项目\09标准化插件开发\程序源代码\StandardEditor_ShanDongKeXieYuan\团标首页面字母T后面的反斜杠.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204571" cy="522509"/>
                                </a:xfrm>
                                <a:prstGeom prst="rect">
                                  <a:avLst/>
                                </a:prstGeom>
                                <a:noFill/>
                                <a:ln>
                                  <a:noFill/>
                                </a:ln>
                              </pic:spPr>
                            </pic:pic>
                          </a:graphicData>
                        </a:graphic>
                      </wp:inline>
                    </w:drawing>
                  </w:r>
                  <w:r>
                    <w:rPr>
                      <w:sz w:val="21"/>
                      <w:szCs w:val="21"/>
                    </w:rPr>
                    <w:t xml:space="preserve"> </w:t>
                  </w:r>
                  <w:bookmarkStart w:id="1" w:name="c1"/>
                  <w:r>
                    <w:rPr>
                      <w:rFonts w:ascii="Times New Roman" w:hAnsi="Times New Roman" w:eastAsia="宋体" w:cs="Times New Roman"/>
                      <w:b/>
                      <w:w w:val="130"/>
                      <w:sz w:val="96"/>
                      <w:lang w:val="en-US" w:eastAsia="zh-CN" w:bidi="ar-SA"/>
                    </w:rPr>
                    <w:fldChar w:fldCharType="begin">
                      <w:ffData>
                        <w:name w:val="c1"/>
                        <w:enabled/>
                        <w:calcOnExit w:val="0"/>
                        <w:textInput>
                          <w:default w:val="CIQA"/>
                          <w:maxLength w:val="7"/>
                        </w:textInput>
                      </w:ffData>
                    </w:fldChar>
                  </w:r>
                  <w:r>
                    <w:rPr>
                      <w:rFonts w:ascii="Times New Roman" w:hAnsi="Times New Roman" w:eastAsia="宋体" w:cs="Times New Roman"/>
                      <w:b/>
                      <w:w w:val="130"/>
                      <w:sz w:val="96"/>
                      <w:lang w:val="en-US" w:eastAsia="zh-CN" w:bidi="ar-SA"/>
                    </w:rPr>
                    <w:instrText xml:space="preserve">FORMTEXT</w:instrText>
                  </w:r>
                  <w:r>
                    <w:rPr>
                      <w:rFonts w:ascii="Times New Roman" w:hAnsi="Times New Roman" w:eastAsia="宋体" w:cs="Times New Roman"/>
                      <w:b/>
                      <w:w w:val="130"/>
                      <w:sz w:val="96"/>
                      <w:lang w:val="en-US" w:eastAsia="zh-CN" w:bidi="ar-SA"/>
                    </w:rPr>
                    <w:fldChar w:fldCharType="separate"/>
                  </w:r>
                  <w:r>
                    <w:rPr>
                      <w:rFonts w:ascii="Times New Roman" w:hAnsi="Times New Roman" w:eastAsia="宋体" w:cs="Times New Roman"/>
                      <w:b/>
                      <w:w w:val="130"/>
                      <w:sz w:val="96"/>
                      <w:lang w:val="en-US" w:eastAsia="zh-CN" w:bidi="ar-SA"/>
                    </w:rPr>
                    <w:t>CIQA</w:t>
                  </w:r>
                  <w:r>
                    <w:rPr>
                      <w:rFonts w:ascii="Times New Roman" w:hAnsi="Times New Roman" w:eastAsia="宋体" w:cs="Times New Roman"/>
                      <w:b/>
                      <w:w w:val="130"/>
                      <w:sz w:val="96"/>
                      <w:lang w:val="en-US" w:eastAsia="zh-CN" w:bidi="ar-SA"/>
                    </w:rPr>
                    <w:fldChar w:fldCharType="end"/>
                  </w:r>
                  <w:bookmarkEnd w:id="1"/>
                </w:p>
              </w:tc>
            </w:tr>
          </w:tbl>
          <w:p w14:paraId="6BA626D8">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bookmarkStart w:id="2" w:name="CSDN"/>
            <w:r>
              <w:rPr>
                <w:rFonts w:ascii="黑体" w:hAnsi="黑体" w:eastAsia="黑体" w:cs="Times New Roman"/>
                <w:kern w:val="2"/>
                <w:sz w:val="21"/>
                <w:szCs w:val="21"/>
                <w:lang w:val="en-US" w:eastAsia="zh-CN" w:bidi="ar-SA"/>
              </w:rPr>
              <w:fldChar w:fldCharType="begin">
                <w:ffData>
                  <w:name w:val="CSDN"/>
                  <w:enabled/>
                  <w:calcOnExit w:val="0"/>
                  <w:textInput>
                    <w:default w:val="X 22"/>
                  </w:textInput>
                </w:ffData>
              </w:fldChar>
            </w:r>
            <w:r>
              <w:rPr>
                <w:rFonts w:ascii="黑体" w:hAnsi="黑体" w:eastAsia="黑体" w:cs="Times New Roman"/>
                <w:kern w:val="2"/>
                <w:sz w:val="21"/>
                <w:szCs w:val="21"/>
                <w:lang w:val="en-US" w:eastAsia="zh-CN" w:bidi="ar-SA"/>
              </w:rPr>
              <w:instrText xml:space="preserve">FORMTEXT</w:instrText>
            </w:r>
            <w:r>
              <w:rPr>
                <w:rFonts w:ascii="黑体" w:hAnsi="黑体" w:eastAsia="黑体" w:cs="Times New Roman"/>
                <w:kern w:val="2"/>
                <w:sz w:val="21"/>
                <w:szCs w:val="21"/>
                <w:lang w:val="en-US" w:eastAsia="zh-CN" w:bidi="ar-SA"/>
              </w:rPr>
              <w:fldChar w:fldCharType="separate"/>
            </w:r>
            <w:r>
              <w:rPr>
                <w:rFonts w:ascii="黑体" w:hAnsi="黑体" w:eastAsia="黑体" w:cs="Times New Roman"/>
                <w:kern w:val="2"/>
                <w:sz w:val="21"/>
                <w:szCs w:val="21"/>
                <w:lang w:val="en-US" w:eastAsia="zh-CN" w:bidi="ar-SA"/>
              </w:rPr>
              <w:t>X 22</w:t>
            </w:r>
            <w:r>
              <w:rPr>
                <w:rFonts w:ascii="黑体" w:hAnsi="黑体" w:eastAsia="黑体" w:cs="Times New Roman"/>
                <w:kern w:val="2"/>
                <w:sz w:val="21"/>
                <w:szCs w:val="21"/>
                <w:lang w:val="en-US" w:eastAsia="zh-CN" w:bidi="ar-SA"/>
              </w:rPr>
              <w:fldChar w:fldCharType="end"/>
            </w:r>
            <w:bookmarkEnd w:id="2"/>
          </w:p>
        </w:tc>
      </w:tr>
    </w:tbl>
    <w:p w14:paraId="1D6488AE">
      <w:pPr>
        <w:pStyle w:val="51"/>
        <w:framePr w:w="9639" w:h="624" w:hRule="exact" w:hSpace="181" w:vSpace="181" w:wrap="around" w:hAnchor="page" w:x="1305" w:y="2269"/>
        <w:rPr>
          <w:rFonts w:ascii="黑体" w:hAnsi="黑体" w:eastAsia="黑体"/>
          <w:b w:val="0"/>
          <w:bCs w:val="0"/>
          <w:w w:val="100"/>
          <w:sz w:val="48"/>
          <w:szCs w:val="48"/>
        </w:rPr>
      </w:pPr>
      <w:bookmarkStart w:id="3" w:name="c2"/>
      <w:bookmarkStart w:id="4" w:name="_Hlk26473981"/>
      <w:r>
        <w:rPr>
          <w:rFonts w:hint="eastAsia" w:ascii="黑体" w:hAnsi="Times New Roman" w:eastAsia="黑体" w:cs="Times New Roman"/>
          <w:b w:val="0"/>
          <w:bCs/>
          <w:w w:val="100"/>
          <w:sz w:val="48"/>
          <w:lang w:val="en-US" w:eastAsia="zh-CN" w:bidi="ar-SA"/>
        </w:rPr>
        <w:fldChar w:fldCharType="begin">
          <w:ffData>
            <w:name w:val="c2"/>
            <w:enabled/>
            <w:calcOnExit w:val="0"/>
            <w:textInput>
              <w:default w:val="中国出入境检验检疫协会"/>
            </w:textInput>
          </w:ffData>
        </w:fldChar>
      </w:r>
      <w:r>
        <w:rPr>
          <w:rFonts w:hint="eastAsia" w:ascii="黑体" w:hAnsi="Times New Roman" w:eastAsia="黑体" w:cs="Times New Roman"/>
          <w:b w:val="0"/>
          <w:bCs/>
          <w:w w:val="100"/>
          <w:sz w:val="48"/>
          <w:lang w:val="en-US" w:eastAsia="zh-CN" w:bidi="ar-SA"/>
        </w:rPr>
        <w:instrText xml:space="preserve">FORMTEXT</w:instrText>
      </w:r>
      <w:r>
        <w:rPr>
          <w:rFonts w:hint="eastAsia" w:ascii="黑体" w:hAnsi="Times New Roman" w:eastAsia="黑体" w:cs="Times New Roman"/>
          <w:b w:val="0"/>
          <w:bCs/>
          <w:w w:val="100"/>
          <w:sz w:val="48"/>
          <w:lang w:val="en-US" w:eastAsia="zh-CN" w:bidi="ar-SA"/>
        </w:rPr>
        <w:fldChar w:fldCharType="separate"/>
      </w:r>
      <w:r>
        <w:rPr>
          <w:rFonts w:hint="eastAsia" w:ascii="黑体" w:hAnsi="Times New Roman" w:eastAsia="黑体" w:cs="Times New Roman"/>
          <w:b w:val="0"/>
          <w:bCs/>
          <w:w w:val="100"/>
          <w:sz w:val="48"/>
          <w:lang w:val="en-US" w:eastAsia="zh-CN" w:bidi="ar-SA"/>
        </w:rPr>
        <w:t>中国出入境检验检疫协会</w:t>
      </w:r>
      <w:r>
        <w:rPr>
          <w:rFonts w:hint="eastAsia" w:ascii="黑体" w:hAnsi="Times New Roman" w:eastAsia="黑体" w:cs="Times New Roman"/>
          <w:b w:val="0"/>
          <w:bCs/>
          <w:w w:val="100"/>
          <w:sz w:val="48"/>
          <w:lang w:val="en-US" w:eastAsia="zh-CN" w:bidi="ar-SA"/>
        </w:rPr>
        <w:fldChar w:fldCharType="end"/>
      </w:r>
      <w:bookmarkEnd w:id="3"/>
      <w:r>
        <w:rPr>
          <w:rFonts w:hint="eastAsia" w:ascii="黑体" w:eastAsia="黑体"/>
          <w:b w:val="0"/>
          <w:w w:val="100"/>
          <w:sz w:val="48"/>
        </w:rPr>
        <w:t>团体</w:t>
      </w:r>
      <w:r>
        <w:rPr>
          <w:rFonts w:hint="eastAsia" w:ascii="黑体" w:hAnsi="黑体" w:eastAsia="黑体"/>
          <w:b w:val="0"/>
          <w:bCs w:val="0"/>
          <w:w w:val="100"/>
          <w:sz w:val="48"/>
          <w:szCs w:val="48"/>
        </w:rPr>
        <w:t>标准</w:t>
      </w:r>
    </w:p>
    <w:bookmarkEnd w:id="4"/>
    <w:p w14:paraId="4D9F3189">
      <w:pPr>
        <w:pStyle w:val="196"/>
        <w:rPr>
          <w:rFonts w:hint="default" w:eastAsia="黑体"/>
          <w:lang w:val="en-US" w:eastAsia="zh-CN"/>
        </w:rPr>
      </w:pPr>
      <w:r>
        <w:t>T/</w:t>
      </w:r>
      <w:bookmarkStart w:id="5" w:name="文字1"/>
      <w:r>
        <w:rPr>
          <w:rFonts w:ascii="黑体" w:hAnsi="Times New Roman" w:eastAsia="黑体" w:cs="Times New Roman"/>
          <w:bCs/>
          <w:sz w:val="28"/>
          <w:szCs w:val="28"/>
          <w:lang w:val="en-US" w:eastAsia="zh-CN" w:bidi="ar-SA"/>
        </w:rPr>
        <w:fldChar w:fldCharType="begin">
          <w:ffData>
            <w:name w:val="文字1"/>
            <w:enabled/>
            <w:calcOnExit w:val="0"/>
            <w:textInput>
              <w:default w:val="CIQA"/>
            </w:textInput>
          </w:ffData>
        </w:fldChar>
      </w:r>
      <w:r>
        <w:rPr>
          <w:rFonts w:ascii="黑体" w:hAnsi="Times New Roman" w:eastAsia="黑体" w:cs="Times New Roman"/>
          <w:bCs/>
          <w:sz w:val="28"/>
          <w:szCs w:val="28"/>
          <w:lang w:val="en-US" w:eastAsia="zh-CN" w:bidi="ar-SA"/>
        </w:rPr>
        <w:instrText xml:space="preserve">FORMTEXT</w:instrText>
      </w:r>
      <w:r>
        <w:rPr>
          <w:rFonts w:ascii="黑体" w:hAnsi="Times New Roman" w:eastAsia="黑体" w:cs="Times New Roman"/>
          <w:bCs/>
          <w:sz w:val="28"/>
          <w:szCs w:val="28"/>
          <w:lang w:val="en-US" w:eastAsia="zh-CN" w:bidi="ar-SA"/>
        </w:rPr>
        <w:fldChar w:fldCharType="separate"/>
      </w:r>
      <w:r>
        <w:rPr>
          <w:rFonts w:ascii="黑体" w:hAnsi="Times New Roman" w:eastAsia="黑体" w:cs="Times New Roman"/>
          <w:bCs/>
          <w:sz w:val="28"/>
          <w:szCs w:val="28"/>
          <w:lang w:val="en-US" w:eastAsia="zh-CN" w:bidi="ar-SA"/>
        </w:rPr>
        <w:t>CIQA</w:t>
      </w:r>
      <w:r>
        <w:rPr>
          <w:rFonts w:ascii="黑体" w:hAnsi="Times New Roman" w:eastAsia="黑体" w:cs="Times New Roman"/>
          <w:bCs/>
          <w:sz w:val="28"/>
          <w:szCs w:val="28"/>
          <w:lang w:val="en-US" w:eastAsia="zh-CN" w:bidi="ar-SA"/>
        </w:rPr>
        <w:fldChar w:fldCharType="end"/>
      </w:r>
      <w:bookmarkEnd w:id="5"/>
      <w:r>
        <w:t xml:space="preserve"> </w:t>
      </w:r>
      <w:r>
        <w:rPr>
          <w:rFonts w:hint="eastAsia"/>
          <w:lang w:val="en-US" w:eastAsia="zh-CN"/>
        </w:rPr>
        <w:t>179</w:t>
      </w:r>
      <w:r>
        <w:rPr>
          <w:rFonts w:hAnsi="黑体"/>
        </w:rPr>
        <w:t>—</w:t>
      </w:r>
      <w:r>
        <w:rPr>
          <w:rFonts w:hint="eastAsia"/>
          <w:lang w:val="en-US" w:eastAsia="zh-CN"/>
        </w:rPr>
        <w:t>2024</w:t>
      </w:r>
      <w:bookmarkStart w:id="58" w:name="_GoBack"/>
      <w:bookmarkEnd w:id="58"/>
    </w:p>
    <w:p w14:paraId="3EB0D3EE">
      <w:pPr>
        <w:pStyle w:val="197"/>
        <w:rPr>
          <w:rFonts w:hAnsi="黑体"/>
        </w:rPr>
      </w:pPr>
      <w:r>
        <w:rPr>
          <w:rFonts w:hAnsi="黑体"/>
        </w:rPr>
        <w:fldChar w:fldCharType="begin">
          <w:ffData>
            <w:name w:val="OSTD_CODE"/>
            <w:enabled/>
            <w:calcOnExit w:val="0"/>
            <w:textInput/>
          </w:ffData>
        </w:fldChar>
      </w:r>
      <w:bookmarkStart w:id="6"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6"/>
    </w:p>
    <w:p w14:paraId="0BE4C56D">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1FF76DF0">
      <w:pPr>
        <w:pStyle w:val="51"/>
        <w:framePr w:w="9639" w:h="6976" w:hRule="exact" w:hSpace="0" w:vSpace="0" w:wrap="around" w:hAnchor="page" w:y="6408"/>
        <w:jc w:val="center"/>
        <w:rPr>
          <w:rFonts w:ascii="黑体" w:hAnsi="黑体" w:eastAsia="黑体"/>
          <w:b w:val="0"/>
          <w:bCs w:val="0"/>
          <w:w w:val="100"/>
        </w:rPr>
      </w:pPr>
    </w:p>
    <w:p w14:paraId="2DF9BCD2">
      <w:pPr>
        <w:pStyle w:val="198"/>
        <w:framePr w:h="6974" w:hRule="exact" w:wrap="around" w:x="1419" w:anchorLock="1"/>
      </w:pPr>
      <w:r>
        <w:fldChar w:fldCharType="begin">
          <w:ffData>
            <w:name w:val="CSTD_NAME"/>
            <w:enabled/>
            <w:calcOnExit w:val="0"/>
            <w:textInput>
              <w:default w:val="点击此处添加标准名称"/>
            </w:textInput>
          </w:ffData>
        </w:fldChar>
      </w:r>
      <w:bookmarkStart w:id="7" w:name="CSTD_NAME"/>
      <w:r>
        <w:instrText xml:space="preserve"> FORMTEXT </w:instrText>
      </w:r>
      <w:r>
        <w:fldChar w:fldCharType="separate"/>
      </w:r>
      <w:r>
        <w:rPr>
          <w:rFonts w:hint="eastAsia"/>
        </w:rPr>
        <w:t>生牛肉饼</w:t>
      </w:r>
      <w:r>
        <w:fldChar w:fldCharType="end"/>
      </w:r>
      <w:bookmarkEnd w:id="7"/>
    </w:p>
    <w:p w14:paraId="4F2DFAE1">
      <w:pPr>
        <w:framePr w:w="9639" w:h="6974" w:hRule="exact" w:wrap="around" w:vAnchor="page" w:hAnchor="page" w:x="1419" w:y="6408" w:anchorLock="1"/>
        <w:ind w:left="-1418"/>
      </w:pPr>
    </w:p>
    <w:p w14:paraId="7B3D1C0F">
      <w:pPr>
        <w:pStyle w:val="126"/>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8" w:name="ESTD_NAME"/>
      <w:r>
        <w:rPr>
          <w:rFonts w:eastAsia="黑体"/>
          <w:szCs w:val="28"/>
        </w:rPr>
        <w:instrText xml:space="preserve"> FORMTEXT </w:instrText>
      </w:r>
      <w:r>
        <w:rPr>
          <w:rFonts w:eastAsia="黑体"/>
          <w:szCs w:val="28"/>
        </w:rPr>
        <w:fldChar w:fldCharType="separate"/>
      </w:r>
      <w:r>
        <w:rPr>
          <w:rFonts w:hint="eastAsia" w:eastAsia="黑体"/>
          <w:szCs w:val="28"/>
        </w:rPr>
        <w:t>Raw Beef Patty</w:t>
      </w:r>
      <w:r>
        <w:rPr>
          <w:rFonts w:eastAsia="黑体"/>
          <w:szCs w:val="28"/>
        </w:rPr>
        <w:fldChar w:fldCharType="end"/>
      </w:r>
      <w:bookmarkEnd w:id="8"/>
    </w:p>
    <w:p w14:paraId="5F4DB81E">
      <w:pPr>
        <w:framePr w:w="9639" w:h="6974" w:hRule="exact" w:wrap="around" w:vAnchor="page" w:hAnchor="page" w:x="1419" w:y="6408" w:anchorLock="1"/>
        <w:spacing w:line="760" w:lineRule="exact"/>
        <w:ind w:left="-1418"/>
      </w:pPr>
    </w:p>
    <w:p w14:paraId="388B4DBC">
      <w:pPr>
        <w:pStyle w:val="126"/>
        <w:framePr w:w="9639" w:h="6974" w:hRule="exact" w:wrap="around" w:vAnchor="page" w:hAnchor="page" w:x="1419" w:y="6408" w:anchorLock="1"/>
        <w:textAlignment w:val="bottom"/>
        <w:rPr>
          <w:rFonts w:eastAsia="黑体"/>
          <w:szCs w:val="28"/>
        </w:rPr>
      </w:pPr>
    </w:p>
    <w:p w14:paraId="43543BBA">
      <w:pPr>
        <w:pStyle w:val="126"/>
        <w:framePr w:w="9639" w:h="6974" w:hRule="exact" w:wrap="around" w:vAnchor="page" w:hAnchor="page" w:x="1419" w:y="6408" w:anchorLock="1"/>
        <w:spacing w:before="440" w:after="160"/>
        <w:textAlignment w:val="bottom"/>
        <w:rPr>
          <w:sz w:val="24"/>
          <w:szCs w:val="28"/>
        </w:rPr>
      </w:pPr>
      <w:r>
        <w:rPr>
          <w:rFonts w:hint="eastAsia" w:ascii="Times New Roman" w:hAnsi="Times New Roman" w:eastAsia="宋体" w:cs="Times New Roman"/>
          <w:sz w:val="24"/>
          <w:szCs w:val="28"/>
          <w:lang w:val="en-US" w:eastAsia="zh-CN" w:bidi="ar-SA"/>
        </w:rPr>
        <w:fldChar w:fldCharType="begin">
          <w:ffData>
            <w:name w:val="DropDown1"/>
            <w:enabled/>
            <w:calcOnExit w:val="0"/>
            <w:ddList>
              <w:listEntry w:val="（工作组讨论稿）"/>
              <w:listEntry w:val="草案版次选择"/>
              <w:listEntry w:val="（工作组讨论稿）"/>
              <w:listEntry w:val="（征求意见稿）"/>
              <w:listEntry w:val="（送审讨论稿）"/>
              <w:listEntry w:val="（送审稿）"/>
              <w:listEntry w:val="（报批稿）"/>
            </w:ddList>
          </w:ffData>
        </w:fldChar>
      </w:r>
      <w:r>
        <w:rPr>
          <w:rFonts w:hint="eastAsia" w:ascii="Times New Roman" w:hAnsi="Times New Roman" w:eastAsia="宋体" w:cs="Times New Roman"/>
          <w:sz w:val="24"/>
          <w:szCs w:val="28"/>
          <w:lang w:val="en-US" w:eastAsia="zh-CN" w:bidi="ar-SA"/>
        </w:rPr>
        <w:instrText xml:space="preserve">FORMDROPDOWN</w:instrText>
      </w:r>
      <w:r>
        <w:rPr>
          <w:rFonts w:hint="eastAsia" w:ascii="Times New Roman" w:hAnsi="Times New Roman" w:eastAsia="宋体" w:cs="Times New Roman"/>
          <w:sz w:val="24"/>
          <w:szCs w:val="28"/>
          <w:lang w:val="en-US" w:eastAsia="zh-CN" w:bidi="ar-SA"/>
        </w:rPr>
        <w:fldChar w:fldCharType="separate"/>
      </w:r>
      <w:r>
        <w:rPr>
          <w:rFonts w:hint="eastAsia" w:ascii="Times New Roman" w:hAnsi="Times New Roman" w:eastAsia="宋体" w:cs="Times New Roman"/>
          <w:sz w:val="24"/>
          <w:szCs w:val="28"/>
          <w:lang w:val="en-US" w:eastAsia="zh-CN" w:bidi="ar-SA"/>
        </w:rPr>
        <w:fldChar w:fldCharType="end"/>
      </w:r>
    </w:p>
    <w:p w14:paraId="0AC356AB">
      <w:pPr>
        <w:pStyle w:val="126"/>
        <w:framePr w:w="9639" w:h="6974" w:hRule="exact" w:wrap="around" w:vAnchor="page" w:hAnchor="page" w:x="1419" w:y="6408" w:anchorLock="1"/>
        <w:spacing w:before="180" w:line="240" w:lineRule="atLeast"/>
        <w:textAlignment w:val="bottom"/>
        <w:rPr>
          <w:sz w:val="21"/>
          <w:szCs w:val="28"/>
        </w:rPr>
      </w:pPr>
      <w:bookmarkStart w:id="9" w:name="CMPLSH_DATE"/>
      <w:r>
        <w:rPr>
          <w:rFonts w:ascii="Times New Roman" w:hAnsi="Times New Roman" w:eastAsia="宋体" w:cs="Times New Roman"/>
          <w:sz w:val="21"/>
          <w:szCs w:val="28"/>
          <w:lang w:val="en-US" w:eastAsia="zh-CN" w:bidi="ar-SA"/>
        </w:rPr>
        <w:fldChar w:fldCharType="begin">
          <w:ffData>
            <w:name w:val="CMPLSH_DATE"/>
            <w:enabled/>
            <w:calcOnExit w:val="0"/>
            <w:textInput>
              <w:default w:val="2024.05.24"/>
            </w:textInput>
          </w:ffData>
        </w:fldChar>
      </w:r>
      <w:r>
        <w:rPr>
          <w:rFonts w:ascii="Times New Roman" w:hAnsi="Times New Roman" w:eastAsia="宋体" w:cs="Times New Roman"/>
          <w:sz w:val="21"/>
          <w:szCs w:val="28"/>
          <w:lang w:val="en-US" w:eastAsia="zh-CN" w:bidi="ar-SA"/>
        </w:rPr>
        <w:instrText xml:space="preserve">FORMTEXT</w:instrText>
      </w:r>
      <w:r>
        <w:rPr>
          <w:rFonts w:ascii="Times New Roman" w:hAnsi="Times New Roman" w:eastAsia="宋体" w:cs="Times New Roman"/>
          <w:sz w:val="21"/>
          <w:szCs w:val="28"/>
          <w:lang w:val="en-US" w:eastAsia="zh-CN" w:bidi="ar-SA"/>
        </w:rPr>
        <w:fldChar w:fldCharType="separate"/>
      </w:r>
      <w:r>
        <w:rPr>
          <w:rFonts w:ascii="Times New Roman" w:hAnsi="Times New Roman" w:eastAsia="宋体" w:cs="Times New Roman"/>
          <w:sz w:val="21"/>
          <w:szCs w:val="28"/>
          <w:lang w:val="en-US" w:eastAsia="zh-CN" w:bidi="ar-SA"/>
        </w:rPr>
        <w:t>2024.0</w:t>
      </w:r>
      <w:r>
        <w:rPr>
          <w:rFonts w:hint="eastAsia" w:cs="Times New Roman"/>
          <w:sz w:val="21"/>
          <w:szCs w:val="28"/>
          <w:lang w:val="en-US" w:eastAsia="zh-CN" w:bidi="ar-SA"/>
        </w:rPr>
        <w:t>7</w:t>
      </w:r>
      <w:r>
        <w:rPr>
          <w:rFonts w:ascii="Times New Roman" w:hAnsi="Times New Roman" w:eastAsia="宋体" w:cs="Times New Roman"/>
          <w:sz w:val="21"/>
          <w:szCs w:val="28"/>
          <w:lang w:val="en-US" w:eastAsia="zh-CN" w:bidi="ar-SA"/>
        </w:rPr>
        <w:t>.</w:t>
      </w:r>
      <w:r>
        <w:rPr>
          <w:rFonts w:hint="eastAsia" w:cs="Times New Roman"/>
          <w:sz w:val="21"/>
          <w:szCs w:val="28"/>
          <w:lang w:val="en-US" w:eastAsia="zh-CN" w:bidi="ar-SA"/>
        </w:rPr>
        <w:t>05</w:t>
      </w:r>
      <w:r>
        <w:rPr>
          <w:rFonts w:ascii="Times New Roman" w:hAnsi="Times New Roman" w:eastAsia="宋体" w:cs="Times New Roman"/>
          <w:sz w:val="21"/>
          <w:szCs w:val="28"/>
          <w:lang w:val="en-US" w:eastAsia="zh-CN" w:bidi="ar-SA"/>
        </w:rPr>
        <w:fldChar w:fldCharType="end"/>
      </w:r>
      <w:bookmarkEnd w:id="9"/>
    </w:p>
    <w:p w14:paraId="183C4AAC">
      <w:pPr>
        <w:pStyle w:val="126"/>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0" w:name="下拉2"/>
      <w:r>
        <w:rPr>
          <w:b/>
          <w:sz w:val="21"/>
          <w:szCs w:val="28"/>
        </w:rPr>
        <w:instrText xml:space="preserve"> FORMDROPDOWN </w:instrText>
      </w:r>
      <w:r>
        <w:rPr>
          <w:b/>
          <w:sz w:val="21"/>
          <w:szCs w:val="28"/>
        </w:rPr>
        <w:fldChar w:fldCharType="separate"/>
      </w:r>
      <w:r>
        <w:rPr>
          <w:b/>
          <w:sz w:val="21"/>
          <w:szCs w:val="28"/>
        </w:rPr>
        <w:fldChar w:fldCharType="end"/>
      </w:r>
      <w:bookmarkEnd w:id="10"/>
    </w:p>
    <w:p w14:paraId="55D8FDC5">
      <w:pPr>
        <w:pStyle w:val="194"/>
        <w:framePr w:wrap="around" w:y="14176"/>
      </w:pPr>
      <w:r>
        <w:rPr>
          <w:rFonts w:ascii="黑体"/>
        </w:rPr>
        <w:fldChar w:fldCharType="begin">
          <w:ffData>
            <w:name w:val="PLSH_DATE_Y"/>
            <w:enabled/>
            <w:calcOnExit w:val="0"/>
            <w:textInput>
              <w:default w:val="XXXX"/>
              <w:maxLength w:val="4"/>
            </w:textInput>
          </w:ffData>
        </w:fldChar>
      </w:r>
      <w:bookmarkStart w:id="11"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1"/>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2"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2"/>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3"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3"/>
      <w:r>
        <w:rPr>
          <w:rFonts w:hint="eastAsia"/>
        </w:rPr>
        <w:t>发布</w:t>
      </w:r>
    </w:p>
    <w:p w14:paraId="7C8E07D8">
      <w:pPr>
        <w:pStyle w:val="195"/>
        <w:framePr w:wrap="around" w:y="14176"/>
      </w:pPr>
      <w:r>
        <w:rPr>
          <w:rFonts w:ascii="黑体"/>
        </w:rPr>
        <w:fldChar w:fldCharType="begin">
          <w:ffData>
            <w:name w:val="CROT_DATE_Y"/>
            <w:enabled/>
            <w:calcOnExit w:val="0"/>
            <w:textInput>
              <w:default w:val="XXXX"/>
              <w:maxLength w:val="4"/>
            </w:textInput>
          </w:ffData>
        </w:fldChar>
      </w:r>
      <w:bookmarkStart w:id="14"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5"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6"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实施</w:t>
      </w:r>
    </w:p>
    <w:p w14:paraId="2023E9C2">
      <w:pPr>
        <w:pStyle w:val="152"/>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17" w:name="fm"/>
      <w:r>
        <w:rPr>
          <w:rFonts w:hAnsi="黑体"/>
          <w:w w:val="100"/>
          <w:sz w:val="28"/>
        </w:rPr>
        <w:instrText xml:space="preserve"> FORMTEXT </w:instrText>
      </w:r>
      <w:r>
        <w:rPr>
          <w:rFonts w:hAnsi="黑体"/>
          <w:w w:val="100"/>
          <w:sz w:val="28"/>
        </w:rPr>
        <w:fldChar w:fldCharType="separate"/>
      </w:r>
      <w:r>
        <w:rPr>
          <w:rFonts w:hAnsi="黑体"/>
          <w:w w:val="100"/>
          <w:sz w:val="28"/>
        </w:rPr>
        <w:t>     </w:t>
      </w:r>
      <w:r>
        <w:rPr>
          <w:rFonts w:hAnsi="黑体"/>
          <w:w w:val="100"/>
          <w:sz w:val="28"/>
        </w:rPr>
        <w:fldChar w:fldCharType="end"/>
      </w:r>
      <w:bookmarkEnd w:id="17"/>
      <w:r>
        <w:rPr>
          <w:rFonts w:ascii="Times New Roman"/>
          <w:w w:val="100"/>
          <w:sz w:val="28"/>
        </w:rPr>
        <w:t>  </w:t>
      </w:r>
      <w:r>
        <w:rPr>
          <w:rStyle w:val="230"/>
          <w:rFonts w:hint="eastAsia" w:hAnsi="黑体"/>
          <w:position w:val="0"/>
        </w:rPr>
        <w:t>发</w:t>
      </w:r>
      <w:r>
        <w:rPr>
          <w:rStyle w:val="230"/>
          <w:rFonts w:hint="eastAsia" w:hAnsi="黑体"/>
          <w:spacing w:val="0"/>
          <w:position w:val="0"/>
        </w:rPr>
        <w:t>布</w:t>
      </w:r>
    </w:p>
    <w:p w14:paraId="66C99C93">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567" w:right="1134" w:bottom="1134" w:left="1134" w:header="1418" w:footer="1134"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1DBD86A2">
      <w:pPr>
        <w:pStyle w:val="90"/>
        <w:spacing w:after="360"/>
      </w:pPr>
      <w:bookmarkStart w:id="18" w:name="_Toc109050390"/>
      <w:bookmarkStart w:id="19" w:name="BookMark2"/>
      <w:bookmarkStart w:id="20" w:name="BookMark4"/>
      <w:r>
        <w:rPr>
          <w:spacing w:val="320"/>
        </w:rPr>
        <w:t>前</w:t>
      </w:r>
      <w:r>
        <w:t>言</w:t>
      </w:r>
      <w:bookmarkEnd w:id="18"/>
    </w:p>
    <w:p w14:paraId="4E479B3A">
      <w:pPr>
        <w:pStyle w:val="57"/>
        <w:ind w:firstLine="420"/>
      </w:pPr>
      <w:r>
        <w:rPr>
          <w:rFonts w:hint="eastAsia"/>
        </w:rPr>
        <w:t>本文件按照GB/T 1.1—2020《标准化工作导则  第1部分：标准化文件的结构和起草规则》的规定起草。</w:t>
      </w:r>
    </w:p>
    <w:p w14:paraId="1A97CFB3">
      <w:pPr>
        <w:pStyle w:val="57"/>
        <w:ind w:firstLine="420"/>
      </w:pPr>
      <w:r>
        <w:rPr>
          <w:rFonts w:hint="eastAsia"/>
        </w:rPr>
        <w:t>本文件的某些内容可能涉及专利。本文件的发布机构不承担识别专利的责任。</w:t>
      </w:r>
    </w:p>
    <w:p w14:paraId="7C1DDC4C">
      <w:pPr>
        <w:pStyle w:val="57"/>
        <w:ind w:firstLine="420"/>
      </w:pPr>
      <w:r>
        <w:rPr>
          <w:rFonts w:hint="eastAsia"/>
        </w:rPr>
        <w:t>本文件由</w:t>
      </w:r>
      <w:r>
        <w:rPr>
          <w:rFonts w:hint="eastAsia"/>
          <w:lang w:val="en-US" w:eastAsia="zh-CN"/>
        </w:rPr>
        <w:t>中国出入境检验检验协会</w:t>
      </w:r>
      <w:r>
        <w:rPr>
          <w:rFonts w:hint="eastAsia"/>
        </w:rPr>
        <w:t>提出并归口。</w:t>
      </w:r>
    </w:p>
    <w:p w14:paraId="78622195">
      <w:pPr>
        <w:pStyle w:val="57"/>
        <w:ind w:firstLine="420"/>
        <w:rPr>
          <w:rFonts w:hint="default" w:eastAsia="宋体"/>
          <w:lang w:val="en-US" w:eastAsia="zh-CN"/>
        </w:rPr>
      </w:pPr>
      <w:r>
        <w:rPr>
          <w:rFonts w:hint="eastAsia"/>
        </w:rPr>
        <w:t>本文件起草单位：</w:t>
      </w:r>
      <w:r>
        <w:rPr>
          <w:rFonts w:hint="eastAsia"/>
          <w:lang w:val="en-US" w:eastAsia="zh-CN"/>
        </w:rPr>
        <w:t>.........</w:t>
      </w:r>
    </w:p>
    <w:p w14:paraId="092C4E07">
      <w:pPr>
        <w:pStyle w:val="57"/>
        <w:ind w:firstLine="420"/>
        <w:rPr>
          <w:rFonts w:hint="default" w:eastAsia="宋体"/>
          <w:lang w:val="en-US" w:eastAsia="zh-CN"/>
        </w:rPr>
        <w:sectPr>
          <w:headerReference r:id="rId11" w:type="default"/>
          <w:footerReference r:id="rId12" w:type="default"/>
          <w:pgSz w:w="11906" w:h="16838"/>
          <w:pgMar w:top="2410" w:right="1134" w:bottom="1134" w:left="1134" w:header="1418" w:footer="1134" w:gutter="284"/>
          <w:pgNumType w:fmt="upperRoman"/>
          <w:cols w:space="425" w:num="1"/>
          <w:formProt w:val="0"/>
          <w:docGrid w:linePitch="312" w:charSpace="0"/>
        </w:sectPr>
      </w:pPr>
      <w:r>
        <w:rPr>
          <w:rFonts w:hint="eastAsia"/>
        </w:rPr>
        <w:t>本文件主要起草人：</w:t>
      </w:r>
      <w:r>
        <w:rPr>
          <w:rFonts w:hint="eastAsia"/>
          <w:lang w:val="en-US" w:eastAsia="zh-CN"/>
        </w:rPr>
        <w:t>........</w:t>
      </w:r>
    </w:p>
    <w:bookmarkEnd w:id="19"/>
    <w:p w14:paraId="4BF49053">
      <w:pPr>
        <w:spacing w:line="20" w:lineRule="exact"/>
        <w:jc w:val="center"/>
        <w:rPr>
          <w:rFonts w:ascii="黑体" w:hAnsi="黑体" w:eastAsia="黑体"/>
          <w:sz w:val="32"/>
          <w:szCs w:val="32"/>
        </w:rPr>
      </w:pPr>
    </w:p>
    <w:p w14:paraId="3C595BBB">
      <w:pPr>
        <w:spacing w:line="20" w:lineRule="exact"/>
        <w:jc w:val="center"/>
        <w:rPr>
          <w:rFonts w:ascii="黑体" w:hAnsi="黑体" w:eastAsia="黑体"/>
          <w:sz w:val="32"/>
          <w:szCs w:val="32"/>
        </w:rPr>
      </w:pPr>
    </w:p>
    <w:sdt>
      <w:sdtPr>
        <w:tag w:val="NEW_STAND_NAME"/>
        <w:id w:val="595910757"/>
        <w:lock w:val="sdtLocked"/>
        <w:placeholder>
          <w:docPart w:val="C31066D32DE3434CB0372AD256B5F337"/>
        </w:placeholder>
      </w:sdtPr>
      <w:sdtContent>
        <w:p w14:paraId="360335A2">
          <w:pPr>
            <w:pStyle w:val="178"/>
            <w:spacing w:before="436" w:beforeLines="182" w:after="528" w:afterLines="220"/>
          </w:pPr>
          <w:bookmarkStart w:id="21" w:name="NEW_STAND_NAME"/>
          <w:r>
            <w:rPr>
              <w:rFonts w:hint="eastAsia"/>
            </w:rPr>
            <w:t>生牛肉饼</w:t>
          </w:r>
        </w:p>
      </w:sdtContent>
    </w:sdt>
    <w:bookmarkEnd w:id="21"/>
    <w:p w14:paraId="0066DDBD">
      <w:pPr>
        <w:pStyle w:val="105"/>
      </w:pPr>
      <w:bookmarkStart w:id="22" w:name="_Toc26718930"/>
      <w:bookmarkStart w:id="23" w:name="_Toc17233333"/>
      <w:bookmarkStart w:id="24" w:name="_Toc26648465"/>
      <w:bookmarkStart w:id="25" w:name="_Toc109050391"/>
      <w:bookmarkStart w:id="26" w:name="_Toc26986530"/>
      <w:bookmarkStart w:id="27" w:name="_Toc17233325"/>
      <w:bookmarkStart w:id="28" w:name="_Toc24884211"/>
      <w:bookmarkStart w:id="29" w:name="_Toc24884218"/>
      <w:bookmarkStart w:id="30" w:name="_Toc26986771"/>
      <w:r>
        <w:rPr>
          <w:rFonts w:hint="eastAsia"/>
        </w:rPr>
        <w:t>范围</w:t>
      </w:r>
      <w:bookmarkEnd w:id="22"/>
      <w:bookmarkEnd w:id="23"/>
      <w:bookmarkEnd w:id="24"/>
      <w:bookmarkEnd w:id="25"/>
      <w:bookmarkEnd w:id="26"/>
      <w:bookmarkEnd w:id="27"/>
      <w:bookmarkEnd w:id="28"/>
      <w:bookmarkEnd w:id="29"/>
      <w:bookmarkEnd w:id="30"/>
    </w:p>
    <w:p w14:paraId="3A728FF2">
      <w:pPr>
        <w:pStyle w:val="232"/>
        <w:rPr>
          <w:rFonts w:asciiTheme="minorHAnsi" w:hAnsiTheme="minorHAnsi"/>
        </w:rPr>
      </w:pPr>
      <w:bookmarkStart w:id="31" w:name="_Toc17233326"/>
      <w:bookmarkStart w:id="32" w:name="_Toc17233334"/>
      <w:bookmarkStart w:id="33" w:name="_Toc24884219"/>
      <w:bookmarkStart w:id="34" w:name="_Toc26648466"/>
      <w:bookmarkStart w:id="35" w:name="_Toc24884212"/>
      <w:r>
        <w:rPr>
          <w:rFonts w:asciiTheme="minorHAnsi" w:hAnsiTheme="minorHAnsi"/>
        </w:rPr>
        <w:t>本文件规定了</w:t>
      </w:r>
      <w:r>
        <w:rPr>
          <w:rFonts w:hint="eastAsia" w:asciiTheme="minorHAnsi" w:hAnsiTheme="minorHAnsi"/>
        </w:rPr>
        <w:t>生</w:t>
      </w:r>
      <w:r>
        <w:rPr>
          <w:rFonts w:asciiTheme="minorHAnsi" w:hAnsiTheme="minorHAnsi"/>
        </w:rPr>
        <w:t>牛肉饼的术语和定义、产品分类、原辅料、</w:t>
      </w:r>
      <w:r>
        <w:rPr>
          <w:rFonts w:hint="eastAsia" w:asciiTheme="minorHAnsi" w:hAnsiTheme="minorHAnsi"/>
        </w:rPr>
        <w:t>投料要求、</w:t>
      </w:r>
      <w:r>
        <w:rPr>
          <w:rFonts w:asciiTheme="minorHAnsi" w:hAnsiTheme="minorHAnsi"/>
        </w:rPr>
        <w:t>技术要求、检验方法、检验规则、判定</w:t>
      </w:r>
      <w:r>
        <w:rPr>
          <w:rFonts w:hint="eastAsia" w:asciiTheme="minorHAnsi" w:hAnsiTheme="minorHAnsi"/>
        </w:rPr>
        <w:t>规则</w:t>
      </w:r>
      <w:r>
        <w:rPr>
          <w:rFonts w:asciiTheme="minorHAnsi" w:hAnsiTheme="minorHAnsi"/>
        </w:rPr>
        <w:t>、标签和标志、包装、贮运和销售的要求。</w:t>
      </w:r>
    </w:p>
    <w:p w14:paraId="765F0C82">
      <w:pPr>
        <w:pStyle w:val="232"/>
      </w:pPr>
      <w:r>
        <w:rPr>
          <w:rFonts w:asciiTheme="minorHAnsi" w:hAnsiTheme="minorHAnsi"/>
        </w:rPr>
        <w:t>本文件适用于</w:t>
      </w:r>
      <w:r>
        <w:rPr>
          <w:rFonts w:hint="eastAsia" w:asciiTheme="minorHAnsi" w:hAnsiTheme="minorHAnsi"/>
          <w:color w:val="auto"/>
        </w:rPr>
        <w:t>速冻</w:t>
      </w:r>
      <w:r>
        <w:rPr>
          <w:rFonts w:asciiTheme="minorHAnsi" w:hAnsiTheme="minorHAnsi"/>
          <w:color w:val="auto"/>
        </w:rPr>
        <w:t>生牛</w:t>
      </w:r>
      <w:r>
        <w:rPr>
          <w:rFonts w:asciiTheme="minorHAnsi" w:hAnsiTheme="minorHAnsi"/>
        </w:rPr>
        <w:t>肉饼的生产、检验和销售。</w:t>
      </w:r>
    </w:p>
    <w:p w14:paraId="4E12A812">
      <w:pPr>
        <w:pStyle w:val="105"/>
      </w:pPr>
      <w:bookmarkStart w:id="36" w:name="_Toc109050392"/>
      <w:bookmarkStart w:id="37" w:name="_Toc26986531"/>
      <w:bookmarkStart w:id="38" w:name="_Toc26986772"/>
      <w:bookmarkStart w:id="39" w:name="_Toc26718931"/>
      <w:r>
        <w:rPr>
          <w:rFonts w:hint="eastAsia"/>
        </w:rPr>
        <w:t>规范性引用文件</w:t>
      </w:r>
      <w:bookmarkEnd w:id="31"/>
      <w:bookmarkEnd w:id="32"/>
      <w:bookmarkEnd w:id="33"/>
      <w:bookmarkEnd w:id="34"/>
      <w:bookmarkEnd w:id="35"/>
      <w:bookmarkEnd w:id="36"/>
      <w:bookmarkEnd w:id="37"/>
      <w:bookmarkEnd w:id="38"/>
      <w:bookmarkEnd w:id="39"/>
    </w:p>
    <w:sdt>
      <w:sdtPr>
        <w:rPr>
          <w:rFonts w:hint="eastAsia"/>
        </w:rPr>
        <w:id w:val="715848253"/>
        <w:placeholder>
          <w:docPart w:val="11CA018333174658A0EC642D59F8F136"/>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685573A5">
          <w:pPr>
            <w:pStyle w:val="57"/>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47A6D4DD">
      <w:pPr>
        <w:spacing w:line="221" w:lineRule="auto"/>
        <w:ind w:firstLine="420" w:firstLineChars="200"/>
        <w:rPr>
          <w:rFonts w:cs="宋体" w:asciiTheme="minorHAnsi" w:hAnsiTheme="minorHAnsi"/>
        </w:rPr>
      </w:pPr>
      <w:bookmarkStart w:id="40" w:name="_Toc109050393"/>
      <w:r>
        <w:rPr>
          <w:rFonts w:cs="宋体" w:asciiTheme="minorHAnsi" w:hAnsiTheme="minorHAnsi"/>
        </w:rPr>
        <w:t>GB</w:t>
      </w:r>
      <w:r>
        <w:rPr>
          <w:rFonts w:cs="宋体" w:asciiTheme="minorHAnsi" w:hAnsiTheme="minorHAnsi"/>
          <w:spacing w:val="-1"/>
        </w:rPr>
        <w:t>/</w:t>
      </w:r>
      <w:r>
        <w:rPr>
          <w:rFonts w:cs="宋体" w:asciiTheme="minorHAnsi" w:hAnsiTheme="minorHAnsi"/>
        </w:rPr>
        <w:t>T</w:t>
      </w:r>
      <w:r>
        <w:rPr>
          <w:rFonts w:cs="宋体" w:asciiTheme="minorHAnsi" w:hAnsiTheme="minorHAnsi"/>
          <w:spacing w:val="-1"/>
        </w:rPr>
        <w:t xml:space="preserve"> </w:t>
      </w:r>
      <w:r>
        <w:rPr>
          <w:rFonts w:cs="宋体" w:asciiTheme="minorHAnsi" w:hAnsiTheme="minorHAnsi"/>
        </w:rPr>
        <w:t>191</w:t>
      </w:r>
      <w:r>
        <w:rPr>
          <w:rFonts w:hint="eastAsia" w:cs="宋体" w:asciiTheme="minorHAnsi" w:hAnsiTheme="minorHAnsi"/>
        </w:rPr>
        <w:t xml:space="preserve"> </w:t>
      </w:r>
      <w:r>
        <w:rPr>
          <w:rFonts w:cs="宋体" w:asciiTheme="minorHAnsi" w:hAnsiTheme="minorHAnsi"/>
        </w:rPr>
        <w:t>包装储运图示标志</w:t>
      </w:r>
    </w:p>
    <w:p w14:paraId="79903502">
      <w:pPr>
        <w:spacing w:line="221" w:lineRule="auto"/>
        <w:ind w:firstLine="420" w:firstLineChars="200"/>
        <w:rPr>
          <w:rFonts w:cs="宋体" w:asciiTheme="minorHAnsi" w:hAnsiTheme="minorHAnsi"/>
        </w:rPr>
      </w:pPr>
      <w:r>
        <w:rPr>
          <w:rFonts w:hint="eastAsia" w:cs="宋体" w:asciiTheme="minorHAnsi" w:hAnsiTheme="minorHAnsi"/>
        </w:rPr>
        <w:t>GB</w:t>
      </w:r>
      <w:r>
        <w:rPr>
          <w:rFonts w:cs="宋体" w:asciiTheme="minorHAnsi" w:hAnsiTheme="minorHAnsi"/>
        </w:rPr>
        <w:t xml:space="preserve"> 2707</w:t>
      </w:r>
      <w:r>
        <w:rPr>
          <w:rFonts w:hint="eastAsia" w:cs="宋体" w:asciiTheme="minorHAnsi" w:hAnsiTheme="minorHAnsi"/>
        </w:rPr>
        <w:t xml:space="preserve"> </w:t>
      </w:r>
      <w:r>
        <w:rPr>
          <w:rFonts w:cs="宋体" w:asciiTheme="minorHAnsi" w:hAnsiTheme="minorHAnsi"/>
        </w:rPr>
        <w:t>食品安全国家标准</w:t>
      </w:r>
      <w:r>
        <w:rPr>
          <w:rFonts w:hint="eastAsia" w:cs="宋体" w:asciiTheme="minorHAnsi" w:hAnsiTheme="minorHAnsi"/>
        </w:rPr>
        <w:t xml:space="preserve"> </w:t>
      </w:r>
      <w:r>
        <w:rPr>
          <w:rFonts w:cs="宋体" w:asciiTheme="minorHAnsi" w:hAnsiTheme="minorHAnsi"/>
        </w:rPr>
        <w:t>鲜（冻）畜、禽产品</w:t>
      </w:r>
    </w:p>
    <w:p w14:paraId="41A22A65">
      <w:pPr>
        <w:spacing w:line="221" w:lineRule="auto"/>
        <w:ind w:firstLine="420" w:firstLineChars="200"/>
        <w:rPr>
          <w:rFonts w:cs="宋体" w:asciiTheme="minorHAnsi" w:hAnsiTheme="minorHAnsi"/>
        </w:rPr>
      </w:pPr>
      <w:r>
        <w:rPr>
          <w:rFonts w:hint="eastAsia" w:cs="宋体" w:asciiTheme="minorHAnsi" w:hAnsiTheme="minorHAnsi"/>
        </w:rPr>
        <w:t>GB 2760 食品安全国家标准 食品添加剂使用标准</w:t>
      </w:r>
    </w:p>
    <w:p w14:paraId="7D462453">
      <w:pPr>
        <w:spacing w:line="221" w:lineRule="auto"/>
        <w:ind w:firstLine="420" w:firstLineChars="200"/>
        <w:rPr>
          <w:rFonts w:cs="宋体" w:asciiTheme="minorHAnsi" w:hAnsiTheme="minorHAnsi"/>
          <w:color w:val="auto"/>
        </w:rPr>
      </w:pPr>
      <w:r>
        <w:rPr>
          <w:rFonts w:hint="eastAsia" w:cs="宋体" w:asciiTheme="minorHAnsi" w:hAnsiTheme="minorHAnsi"/>
        </w:rPr>
        <w:t>GB 2762</w:t>
      </w:r>
      <w:bookmarkStart w:id="41" w:name="OLE_LINK1"/>
      <w:r>
        <w:rPr>
          <w:rFonts w:hint="eastAsia" w:cs="宋体" w:asciiTheme="minorHAnsi" w:hAnsiTheme="minorHAnsi"/>
        </w:rPr>
        <w:t xml:space="preserve"> 食品安全国家标</w:t>
      </w:r>
      <w:r>
        <w:rPr>
          <w:rFonts w:hint="eastAsia" w:cs="宋体" w:asciiTheme="minorHAnsi" w:hAnsiTheme="minorHAnsi"/>
          <w:color w:val="auto"/>
        </w:rPr>
        <w:t>准</w:t>
      </w:r>
      <w:bookmarkEnd w:id="41"/>
      <w:r>
        <w:rPr>
          <w:rFonts w:hint="eastAsia" w:cs="宋体" w:asciiTheme="minorHAnsi" w:hAnsiTheme="minorHAnsi"/>
          <w:color w:val="auto"/>
        </w:rPr>
        <w:t xml:space="preserve"> 食品中污染物限量</w:t>
      </w:r>
    </w:p>
    <w:p w14:paraId="50564963">
      <w:pPr>
        <w:spacing w:line="221" w:lineRule="auto"/>
        <w:ind w:firstLine="420" w:firstLineChars="200"/>
        <w:rPr>
          <w:rFonts w:cs="宋体" w:asciiTheme="minorHAnsi" w:hAnsiTheme="minorHAnsi"/>
          <w:color w:val="auto"/>
        </w:rPr>
      </w:pPr>
      <w:r>
        <w:rPr>
          <w:rFonts w:hint="eastAsia" w:cs="宋体" w:asciiTheme="minorHAnsi" w:hAnsiTheme="minorHAnsi"/>
          <w:color w:val="auto"/>
        </w:rPr>
        <w:t>GB 5009.227 食品安全国家标准 食品中过氧化值的测定</w:t>
      </w:r>
    </w:p>
    <w:p w14:paraId="4B1740A7">
      <w:pPr>
        <w:spacing w:line="221" w:lineRule="auto"/>
        <w:ind w:firstLine="420" w:firstLineChars="200"/>
        <w:rPr>
          <w:rFonts w:cs="宋体" w:asciiTheme="minorHAnsi" w:hAnsiTheme="minorHAnsi"/>
          <w:color w:val="auto"/>
        </w:rPr>
      </w:pPr>
      <w:r>
        <w:rPr>
          <w:rFonts w:hint="eastAsia" w:cs="宋体" w:asciiTheme="minorHAnsi" w:hAnsiTheme="minorHAnsi"/>
          <w:color w:val="auto"/>
        </w:rPr>
        <w:t>GB 5009.228 食品安全国家标准 食品中挥发盐基氮的测定</w:t>
      </w:r>
    </w:p>
    <w:p w14:paraId="2AC63602">
      <w:pPr>
        <w:spacing w:line="221" w:lineRule="auto"/>
        <w:ind w:firstLine="420" w:firstLineChars="200"/>
        <w:rPr>
          <w:rFonts w:cs="宋体" w:asciiTheme="minorHAnsi" w:hAnsiTheme="minorHAnsi"/>
          <w:color w:val="auto"/>
        </w:rPr>
      </w:pPr>
      <w:r>
        <w:rPr>
          <w:rFonts w:hint="eastAsia" w:cs="宋体" w:asciiTheme="minorHAnsi" w:hAnsiTheme="minorHAnsi"/>
          <w:color w:val="auto"/>
        </w:rPr>
        <w:t>GB 5749 生活饮用水卫生标准</w:t>
      </w:r>
    </w:p>
    <w:p w14:paraId="37D6A8BF">
      <w:pPr>
        <w:spacing w:line="221" w:lineRule="auto"/>
        <w:ind w:firstLine="420" w:firstLineChars="200"/>
        <w:rPr>
          <w:rFonts w:cs="宋体" w:asciiTheme="minorHAnsi" w:hAnsiTheme="minorHAnsi"/>
          <w:color w:val="auto"/>
        </w:rPr>
      </w:pPr>
      <w:r>
        <w:rPr>
          <w:rFonts w:hint="eastAsia" w:cs="宋体" w:asciiTheme="minorHAnsi" w:hAnsiTheme="minorHAnsi"/>
          <w:color w:val="auto"/>
        </w:rPr>
        <w:t>GB 7718 食品安全国家标准 预包装食品标签通则</w:t>
      </w:r>
    </w:p>
    <w:p w14:paraId="79F2D783">
      <w:pPr>
        <w:spacing w:line="221" w:lineRule="auto"/>
        <w:ind w:firstLine="420" w:firstLineChars="200"/>
        <w:rPr>
          <w:rFonts w:cs="宋体" w:asciiTheme="minorHAnsi" w:hAnsiTheme="minorHAnsi"/>
          <w:color w:val="auto"/>
        </w:rPr>
      </w:pPr>
      <w:r>
        <w:rPr>
          <w:rFonts w:hint="eastAsia" w:cs="宋体" w:asciiTheme="minorHAnsi" w:hAnsiTheme="minorHAnsi"/>
          <w:color w:val="auto"/>
        </w:rPr>
        <w:t>GB/T 9695.19 肉与肉制品取样方法</w:t>
      </w:r>
    </w:p>
    <w:p w14:paraId="29AE4604">
      <w:pPr>
        <w:spacing w:line="221" w:lineRule="auto"/>
        <w:ind w:firstLine="420" w:firstLineChars="200"/>
        <w:rPr>
          <w:rFonts w:hint="eastAsia" w:cs="宋体" w:asciiTheme="minorHAnsi" w:hAnsiTheme="minorHAnsi"/>
          <w:color w:val="auto"/>
        </w:rPr>
      </w:pPr>
      <w:r>
        <w:rPr>
          <w:rFonts w:hint="eastAsia" w:cs="宋体" w:asciiTheme="minorHAnsi" w:hAnsiTheme="minorHAnsi"/>
          <w:color w:val="auto"/>
        </w:rPr>
        <w:t>GB 14881 食品安全国家标准 食品生产通用卫生规范</w:t>
      </w:r>
    </w:p>
    <w:p w14:paraId="3B4E1BFA">
      <w:pPr>
        <w:spacing w:line="221" w:lineRule="auto"/>
        <w:ind w:firstLine="420" w:firstLineChars="200"/>
        <w:rPr>
          <w:rFonts w:hint="eastAsia" w:eastAsia="宋体" w:cs="宋体" w:asciiTheme="minorHAnsi" w:hAnsiTheme="minorHAnsi"/>
          <w:color w:val="auto"/>
          <w:lang w:val="en-US" w:eastAsia="zh-CN"/>
        </w:rPr>
      </w:pPr>
      <w:r>
        <w:rPr>
          <w:rFonts w:hint="eastAsia" w:cs="宋体" w:asciiTheme="minorHAnsi" w:hAnsiTheme="minorHAnsi"/>
          <w:color w:val="auto"/>
        </w:rPr>
        <w:t>GB 28050</w:t>
      </w:r>
      <w:r>
        <w:rPr>
          <w:rFonts w:hint="eastAsia" w:cs="宋体" w:asciiTheme="minorHAnsi" w:hAnsiTheme="minorHAnsi"/>
          <w:color w:val="auto"/>
          <w:lang w:val="en-US" w:eastAsia="zh-CN"/>
        </w:rPr>
        <w:t xml:space="preserve"> 食品安全国家标准 预包装食品营养标签通则</w:t>
      </w:r>
    </w:p>
    <w:p w14:paraId="24C03CE7">
      <w:pPr>
        <w:spacing w:line="221" w:lineRule="auto"/>
        <w:ind w:firstLine="420" w:firstLineChars="200"/>
        <w:rPr>
          <w:rFonts w:cs="宋体" w:asciiTheme="minorHAnsi" w:hAnsiTheme="minorHAnsi"/>
          <w:color w:val="auto"/>
        </w:rPr>
      </w:pPr>
      <w:r>
        <w:rPr>
          <w:rFonts w:hint="eastAsia" w:cs="宋体" w:asciiTheme="minorHAnsi" w:hAnsiTheme="minorHAnsi"/>
          <w:color w:val="auto"/>
        </w:rPr>
        <w:t>GB 31646 食品安全国家标准 速冻食品生产和经营卫生规范</w:t>
      </w:r>
    </w:p>
    <w:p w14:paraId="473C2017">
      <w:pPr>
        <w:spacing w:line="221" w:lineRule="auto"/>
        <w:ind w:firstLine="420" w:firstLineChars="200"/>
        <w:rPr>
          <w:rFonts w:hint="eastAsia" w:cs="宋体" w:asciiTheme="minorHAnsi" w:hAnsiTheme="minorHAnsi"/>
          <w:color w:val="auto"/>
        </w:rPr>
      </w:pPr>
      <w:r>
        <w:rPr>
          <w:rFonts w:hint="eastAsia" w:cs="宋体" w:asciiTheme="minorHAnsi" w:hAnsiTheme="minorHAnsi"/>
          <w:color w:val="auto"/>
        </w:rPr>
        <w:t>JJF 1070 定量包装商品净含量计量检验规则</w:t>
      </w:r>
    </w:p>
    <w:p w14:paraId="660B502A">
      <w:pPr>
        <w:spacing w:line="221" w:lineRule="auto"/>
        <w:ind w:firstLine="420" w:firstLineChars="200"/>
        <w:rPr>
          <w:rFonts w:cs="宋体" w:asciiTheme="minorHAnsi" w:hAnsiTheme="minorHAnsi"/>
          <w:strike w:val="0"/>
          <w:color w:val="auto"/>
        </w:rPr>
      </w:pPr>
      <w:r>
        <w:rPr>
          <w:rFonts w:hint="eastAsia" w:cs="宋体" w:asciiTheme="minorHAnsi" w:hAnsiTheme="minorHAnsi"/>
          <w:strike w:val="0"/>
          <w:color w:val="auto"/>
        </w:rPr>
        <w:t>《定量包装商品计量监督管理办法》</w:t>
      </w:r>
      <w:r>
        <w:rPr>
          <w:rFonts w:hint="eastAsia" w:cs="宋体" w:asciiTheme="minorHAnsi" w:hAnsiTheme="minorHAnsi"/>
          <w:strike w:val="0"/>
          <w:color w:val="auto"/>
          <w:lang w:eastAsia="zh-CN"/>
        </w:rPr>
        <w:t>（</w:t>
      </w:r>
      <w:r>
        <w:rPr>
          <w:rFonts w:cs="宋体" w:asciiTheme="minorHAnsi" w:hAnsiTheme="minorHAnsi"/>
          <w:strike w:val="0"/>
          <w:color w:val="auto"/>
        </w:rPr>
        <w:t>国家市场监督管理总局令</w:t>
      </w:r>
      <w:r>
        <w:rPr>
          <w:rFonts w:hint="eastAsia" w:cs="宋体" w:asciiTheme="minorHAnsi" w:hAnsiTheme="minorHAnsi"/>
          <w:strike w:val="0"/>
          <w:color w:val="auto"/>
          <w:lang w:val="en-US" w:eastAsia="zh-CN"/>
        </w:rPr>
        <w:t>[2023]</w:t>
      </w:r>
      <w:r>
        <w:rPr>
          <w:rFonts w:cs="宋体" w:asciiTheme="minorHAnsi" w:hAnsiTheme="minorHAnsi"/>
          <w:strike w:val="0"/>
          <w:color w:val="auto"/>
        </w:rPr>
        <w:t>第7</w:t>
      </w:r>
      <w:r>
        <w:rPr>
          <w:rFonts w:hint="eastAsia" w:cs="宋体" w:asciiTheme="minorHAnsi" w:hAnsiTheme="minorHAnsi"/>
          <w:strike w:val="0"/>
          <w:color w:val="auto"/>
          <w:lang w:val="en-US" w:eastAsia="zh-CN"/>
        </w:rPr>
        <w:t>0</w:t>
      </w:r>
      <w:r>
        <w:rPr>
          <w:rFonts w:cs="宋体" w:asciiTheme="minorHAnsi" w:hAnsiTheme="minorHAnsi"/>
          <w:strike w:val="0"/>
          <w:color w:val="auto"/>
        </w:rPr>
        <w:t>号</w:t>
      </w:r>
      <w:r>
        <w:rPr>
          <w:rFonts w:hint="eastAsia" w:cs="宋体" w:asciiTheme="minorHAnsi" w:hAnsiTheme="minorHAnsi"/>
          <w:strike w:val="0"/>
          <w:color w:val="auto"/>
          <w:lang w:eastAsia="zh-CN"/>
        </w:rPr>
        <w:t>）</w:t>
      </w:r>
    </w:p>
    <w:p w14:paraId="6B1F5060">
      <w:pPr>
        <w:pStyle w:val="105"/>
        <w:rPr>
          <w:color w:val="auto"/>
        </w:rPr>
      </w:pPr>
      <w:r>
        <w:rPr>
          <w:rFonts w:hint="eastAsia"/>
          <w:color w:val="auto"/>
        </w:rPr>
        <w:t>术语和定义</w:t>
      </w:r>
      <w:bookmarkEnd w:id="40"/>
    </w:p>
    <w:sdt>
      <w:sdtPr>
        <w:rPr>
          <w:rFonts w:cs="宋体" w:asciiTheme="minorHAnsi" w:hAnsiTheme="minorHAnsi"/>
        </w:rPr>
        <w:id w:val="-1909835108"/>
        <w:placeholder>
          <w:docPart w:val="7EFEA893BDCE4C128F6030318C1A03D0"/>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rPr>
          <w:rFonts w:cs="宋体" w:asciiTheme="minorHAnsi" w:hAnsiTheme="minorHAnsi"/>
        </w:rPr>
      </w:sdtEndPr>
      <w:sdtContent>
        <w:p w14:paraId="009168E3">
          <w:pPr>
            <w:spacing w:line="240" w:lineRule="auto"/>
            <w:ind w:left="440"/>
            <w:rPr>
              <w:rFonts w:cs="宋体" w:asciiTheme="minorHAnsi" w:hAnsiTheme="minorHAnsi"/>
            </w:rPr>
          </w:pPr>
          <w:bookmarkStart w:id="42" w:name="_Toc26986532"/>
          <w:bookmarkEnd w:id="42"/>
          <w:r>
            <w:rPr>
              <w:rFonts w:cs="宋体" w:asciiTheme="minorHAnsi" w:hAnsiTheme="minorHAnsi"/>
            </w:rPr>
            <w:t>下列术语和定义适用于本文件。</w:t>
          </w:r>
        </w:p>
      </w:sdtContent>
    </w:sdt>
    <w:p w14:paraId="18CF26BD">
      <w:pPr>
        <w:pStyle w:val="224"/>
        <w:numPr>
          <w:ilvl w:val="0"/>
          <w:numId w:val="0"/>
        </w:numPr>
        <w:ind w:left="420"/>
        <w:rPr>
          <w:rFonts w:hint="eastAsia"/>
        </w:rPr>
      </w:pPr>
    </w:p>
    <w:p w14:paraId="4152A2F4">
      <w:pPr>
        <w:pStyle w:val="224"/>
      </w:pPr>
    </w:p>
    <w:p w14:paraId="61E5FE57">
      <w:pPr>
        <w:pStyle w:val="224"/>
        <w:numPr>
          <w:ilvl w:val="0"/>
          <w:numId w:val="0"/>
        </w:numPr>
        <w:ind w:left="420"/>
        <w:rPr>
          <w:color w:val="auto"/>
        </w:rPr>
      </w:pPr>
      <w:r>
        <w:rPr>
          <w:rFonts w:hint="eastAsia" w:ascii="黑体" w:hAnsi="黑体" w:eastAsia="黑体" w:cs="黑体"/>
        </w:rPr>
        <w:t>生牛</w:t>
      </w:r>
      <w:r>
        <w:rPr>
          <w:rFonts w:hint="eastAsia" w:ascii="黑体" w:hAnsi="黑体" w:eastAsia="黑体" w:cs="黑体"/>
          <w:color w:val="auto"/>
        </w:rPr>
        <w:t>肉饼 raw beef patty</w:t>
      </w:r>
    </w:p>
    <w:p w14:paraId="673A6565">
      <w:pPr>
        <w:spacing w:line="240" w:lineRule="auto"/>
        <w:ind w:firstLine="420" w:firstLineChars="200"/>
        <w:rPr>
          <w:rFonts w:cs="宋体" w:asciiTheme="minorHAnsi" w:hAnsiTheme="minorHAnsi"/>
          <w:color w:val="auto"/>
        </w:rPr>
      </w:pPr>
      <w:bookmarkStart w:id="43" w:name="_Hlk147848674"/>
      <w:r>
        <w:rPr>
          <w:rFonts w:hint="eastAsia" w:cs="宋体" w:asciiTheme="minorHAnsi" w:hAnsiTheme="minorHAnsi"/>
          <w:color w:val="auto"/>
        </w:rPr>
        <w:t>以</w:t>
      </w:r>
      <w:r>
        <w:rPr>
          <w:rFonts w:cs="宋体" w:asciiTheme="minorHAnsi" w:hAnsiTheme="minorHAnsi"/>
          <w:color w:val="auto"/>
        </w:rPr>
        <w:t>鲜</w:t>
      </w:r>
      <w:r>
        <w:rPr>
          <w:rFonts w:hint="eastAsia" w:cs="宋体" w:asciiTheme="minorHAnsi" w:hAnsiTheme="minorHAnsi"/>
          <w:color w:val="auto"/>
        </w:rPr>
        <w:t>（</w:t>
      </w:r>
      <w:r>
        <w:rPr>
          <w:rFonts w:cs="宋体" w:asciiTheme="minorHAnsi" w:hAnsiTheme="minorHAnsi"/>
          <w:color w:val="auto"/>
        </w:rPr>
        <w:t>冻</w:t>
      </w:r>
      <w:r>
        <w:rPr>
          <w:rFonts w:hint="eastAsia" w:cs="宋体" w:asciiTheme="minorHAnsi" w:hAnsiTheme="minorHAnsi"/>
          <w:color w:val="auto"/>
        </w:rPr>
        <w:t>）分割</w:t>
      </w:r>
      <w:r>
        <w:rPr>
          <w:rFonts w:cs="宋体" w:asciiTheme="minorHAnsi" w:hAnsiTheme="minorHAnsi"/>
          <w:color w:val="auto"/>
        </w:rPr>
        <w:t>牛肉为主要原料，经预处理，绞制，</w:t>
      </w:r>
      <w:r>
        <w:rPr>
          <w:rFonts w:hint="eastAsia" w:cs="宋体" w:asciiTheme="minorHAnsi" w:hAnsiTheme="minorHAnsi"/>
          <w:color w:val="auto"/>
        </w:rPr>
        <w:t>添加或不添加</w:t>
      </w:r>
      <w:r>
        <w:rPr>
          <w:rFonts w:cs="宋体" w:asciiTheme="minorHAnsi" w:hAnsiTheme="minorHAnsi"/>
          <w:color w:val="auto"/>
        </w:rPr>
        <w:t>辅料</w:t>
      </w:r>
      <w:r>
        <w:rPr>
          <w:rFonts w:hint="eastAsia" w:cs="宋体" w:asciiTheme="minorHAnsi" w:hAnsiTheme="minorHAnsi"/>
          <w:color w:val="auto"/>
        </w:rPr>
        <w:t>、食品添加剂</w:t>
      </w:r>
      <w:r>
        <w:rPr>
          <w:rFonts w:cs="宋体" w:asciiTheme="minorHAnsi" w:hAnsiTheme="minorHAnsi"/>
          <w:color w:val="auto"/>
        </w:rPr>
        <w:t>，</w:t>
      </w:r>
      <w:r>
        <w:rPr>
          <w:rFonts w:hint="eastAsia" w:cs="宋体" w:asciiTheme="minorHAnsi" w:hAnsiTheme="minorHAnsi"/>
          <w:color w:val="auto"/>
        </w:rPr>
        <w:t>腌制或不腌制，</w:t>
      </w:r>
      <w:r>
        <w:rPr>
          <w:rFonts w:cs="宋体" w:asciiTheme="minorHAnsi" w:hAnsiTheme="minorHAnsi"/>
          <w:color w:val="auto"/>
        </w:rPr>
        <w:t>搅拌，</w:t>
      </w:r>
      <w:r>
        <w:rPr>
          <w:rFonts w:hint="eastAsia" w:cs="宋体" w:asciiTheme="minorHAnsi" w:hAnsiTheme="minorHAnsi"/>
          <w:color w:val="auto"/>
        </w:rPr>
        <w:t>成型，速冻，</w:t>
      </w:r>
      <w:r>
        <w:rPr>
          <w:rFonts w:cs="宋体" w:asciiTheme="minorHAnsi" w:hAnsiTheme="minorHAnsi"/>
          <w:color w:val="auto"/>
        </w:rPr>
        <w:t>包装等工艺加工而成的</w:t>
      </w:r>
      <w:r>
        <w:rPr>
          <w:rFonts w:hint="eastAsia" w:cs="宋体" w:asciiTheme="minorHAnsi" w:hAnsiTheme="minorHAnsi"/>
          <w:color w:val="auto"/>
          <w:lang w:val="en-US" w:eastAsia="zh-CN"/>
        </w:rPr>
        <w:t>饼状</w:t>
      </w:r>
      <w:r>
        <w:rPr>
          <w:rFonts w:cs="宋体" w:asciiTheme="minorHAnsi" w:hAnsiTheme="minorHAnsi"/>
          <w:color w:val="auto"/>
        </w:rPr>
        <w:t>非即食肉类制品</w:t>
      </w:r>
      <w:bookmarkEnd w:id="43"/>
      <w:r>
        <w:rPr>
          <w:rFonts w:hint="eastAsia" w:cs="宋体" w:asciiTheme="minorHAnsi" w:hAnsiTheme="minorHAnsi"/>
          <w:color w:val="auto"/>
        </w:rPr>
        <w:t>。</w:t>
      </w:r>
      <w:r>
        <w:rPr>
          <w:rFonts w:cs="宋体" w:asciiTheme="minorHAnsi" w:hAnsiTheme="minorHAnsi"/>
          <w:color w:val="auto"/>
        </w:rPr>
        <w:t xml:space="preserve"> </w:t>
      </w:r>
    </w:p>
    <w:p w14:paraId="5C2CF925">
      <w:pPr>
        <w:pStyle w:val="224"/>
        <w:rPr>
          <w:color w:val="auto"/>
        </w:rPr>
      </w:pPr>
    </w:p>
    <w:p w14:paraId="134F306C">
      <w:pPr>
        <w:pStyle w:val="224"/>
        <w:numPr>
          <w:ilvl w:val="0"/>
          <w:numId w:val="0"/>
        </w:numPr>
        <w:ind w:left="420"/>
        <w:rPr>
          <w:color w:val="auto"/>
        </w:rPr>
      </w:pPr>
      <w:r>
        <w:rPr>
          <w:rFonts w:hint="eastAsia" w:ascii="黑体" w:hAnsi="黑体" w:eastAsia="黑体" w:cs="黑体"/>
          <w:color w:val="auto"/>
        </w:rPr>
        <w:t xml:space="preserve">纯牛肉饼 </w:t>
      </w:r>
      <w:r>
        <w:rPr>
          <w:rFonts w:hint="eastAsia" w:ascii="黑体" w:hAnsi="黑体" w:eastAsia="黑体" w:cs="黑体"/>
          <w:color w:val="auto"/>
          <w:lang w:val="en-US" w:eastAsia="zh-CN"/>
        </w:rPr>
        <w:t>p</w:t>
      </w:r>
      <w:r>
        <w:rPr>
          <w:rFonts w:hint="eastAsia" w:ascii="黑体" w:hAnsi="黑体" w:eastAsia="黑体" w:cs="黑体"/>
          <w:color w:val="auto"/>
        </w:rPr>
        <w:t>ure beef patty</w:t>
      </w:r>
    </w:p>
    <w:p w14:paraId="4351A46E">
      <w:pPr>
        <w:spacing w:line="240" w:lineRule="auto"/>
        <w:ind w:firstLine="420" w:firstLineChars="200"/>
        <w:rPr>
          <w:rFonts w:cs="宋体" w:asciiTheme="minorHAnsi" w:hAnsiTheme="minorHAnsi"/>
          <w:color w:val="auto"/>
        </w:rPr>
      </w:pPr>
      <w:r>
        <w:rPr>
          <w:rFonts w:hint="eastAsia" w:cs="宋体" w:asciiTheme="minorHAnsi" w:hAnsiTheme="minorHAnsi"/>
          <w:color w:val="auto"/>
          <w:lang w:val="en-US" w:eastAsia="zh-CN"/>
        </w:rPr>
        <w:t>仅</w:t>
      </w:r>
      <w:r>
        <w:rPr>
          <w:rFonts w:hint="eastAsia" w:cs="宋体" w:asciiTheme="minorHAnsi" w:hAnsiTheme="minorHAnsi"/>
          <w:color w:val="auto"/>
        </w:rPr>
        <w:t>以鲜（冻）分割牛肉为</w:t>
      </w:r>
      <w:r>
        <w:rPr>
          <w:rFonts w:hint="eastAsia" w:cs="宋体" w:asciiTheme="minorHAnsi" w:hAnsiTheme="minorHAnsi"/>
          <w:strike w:val="0"/>
          <w:color w:val="auto"/>
          <w:highlight w:val="none"/>
        </w:rPr>
        <w:t>主要</w:t>
      </w:r>
      <w:r>
        <w:rPr>
          <w:rFonts w:hint="eastAsia" w:cs="宋体" w:asciiTheme="minorHAnsi" w:hAnsiTheme="minorHAnsi"/>
          <w:color w:val="auto"/>
        </w:rPr>
        <w:t>原料，不添加</w:t>
      </w:r>
      <w:r>
        <w:rPr>
          <w:rFonts w:hint="eastAsia" w:cs="宋体" w:asciiTheme="minorHAnsi" w:hAnsiTheme="minorHAnsi"/>
          <w:color w:val="auto"/>
          <w:lang w:val="en-US" w:eastAsia="zh-CN"/>
        </w:rPr>
        <w:t>其他原</w:t>
      </w:r>
      <w:r>
        <w:rPr>
          <w:rFonts w:hint="eastAsia" w:cs="宋体" w:asciiTheme="minorHAnsi" w:hAnsiTheme="minorHAnsi"/>
          <w:color w:val="auto"/>
        </w:rPr>
        <w:t>辅料、食品添加剂，经预处理，绞制，搅拌，成型，速冻，包装等工艺加工而成的</w:t>
      </w:r>
      <w:r>
        <w:rPr>
          <w:rFonts w:hint="eastAsia" w:cs="宋体" w:asciiTheme="minorHAnsi" w:hAnsiTheme="minorHAnsi"/>
          <w:color w:val="auto"/>
          <w:lang w:val="en-US" w:eastAsia="zh-CN"/>
        </w:rPr>
        <w:t>饼状</w:t>
      </w:r>
      <w:r>
        <w:rPr>
          <w:rFonts w:cs="宋体" w:asciiTheme="minorHAnsi" w:hAnsiTheme="minorHAnsi"/>
          <w:color w:val="auto"/>
        </w:rPr>
        <w:t>非即食肉类制品</w:t>
      </w:r>
      <w:r>
        <w:rPr>
          <w:rFonts w:hint="eastAsia" w:cs="宋体" w:asciiTheme="minorHAnsi" w:hAnsiTheme="minorHAnsi"/>
          <w:color w:val="auto"/>
        </w:rPr>
        <w:t>。</w:t>
      </w:r>
    </w:p>
    <w:p w14:paraId="6EDCCD23">
      <w:pPr>
        <w:pStyle w:val="224"/>
        <w:rPr>
          <w:color w:val="auto"/>
        </w:rPr>
      </w:pPr>
    </w:p>
    <w:p w14:paraId="7E75195B">
      <w:pPr>
        <w:pStyle w:val="224"/>
        <w:numPr>
          <w:ilvl w:val="0"/>
          <w:numId w:val="0"/>
        </w:numPr>
        <w:ind w:left="420"/>
        <w:rPr>
          <w:rFonts w:hint="eastAsia" w:ascii="黑体" w:hAnsi="黑体" w:eastAsia="黑体" w:cs="黑体"/>
          <w:color w:val="auto"/>
        </w:rPr>
      </w:pPr>
      <w:r>
        <w:rPr>
          <w:rFonts w:hint="eastAsia" w:ascii="黑体" w:hAnsi="黑体" w:eastAsia="黑体" w:cs="黑体"/>
          <w:color w:val="auto"/>
        </w:rPr>
        <w:t xml:space="preserve">调制牛肉饼 </w:t>
      </w:r>
      <w:bookmarkStart w:id="44" w:name="OLE_LINK3"/>
      <w:r>
        <w:rPr>
          <w:rFonts w:hint="eastAsia" w:ascii="黑体" w:hAnsi="黑体" w:eastAsia="黑体" w:cs="黑体"/>
          <w:color w:val="auto"/>
          <w:lang w:val="en-US" w:eastAsia="zh-CN"/>
        </w:rPr>
        <w:t>p</w:t>
      </w:r>
      <w:r>
        <w:rPr>
          <w:rFonts w:hint="eastAsia" w:ascii="黑体" w:hAnsi="黑体" w:eastAsia="黑体" w:cs="黑体"/>
          <w:color w:val="auto"/>
        </w:rPr>
        <w:t>repared beef patty</w:t>
      </w:r>
    </w:p>
    <w:bookmarkEnd w:id="44"/>
    <w:p w14:paraId="3CFB47EC">
      <w:pPr>
        <w:pStyle w:val="57"/>
        <w:ind w:firstLine="420"/>
        <w:rPr>
          <w:rFonts w:asciiTheme="minorHAnsi" w:hAnsiTheme="minorHAnsi"/>
          <w:color w:val="auto"/>
        </w:rPr>
      </w:pPr>
      <w:r>
        <w:rPr>
          <w:rFonts w:hint="eastAsia" w:asciiTheme="minorHAnsi" w:hAnsiTheme="minorHAnsi"/>
          <w:color w:val="auto"/>
        </w:rPr>
        <w:t>以鲜（冻）分割牛肉为主要原料，经预处理，绞制，添加</w:t>
      </w:r>
      <w:r>
        <w:rPr>
          <w:rFonts w:asciiTheme="minorHAnsi" w:hAnsiTheme="minorHAnsi"/>
          <w:color w:val="auto"/>
        </w:rPr>
        <w:t>辅料</w:t>
      </w:r>
      <w:r>
        <w:rPr>
          <w:rFonts w:hint="eastAsia" w:asciiTheme="minorHAnsi" w:hAnsiTheme="minorHAnsi"/>
          <w:color w:val="auto"/>
        </w:rPr>
        <w:t>和/或食品添加剂</w:t>
      </w:r>
      <w:r>
        <w:rPr>
          <w:rFonts w:asciiTheme="minorHAnsi" w:hAnsiTheme="minorHAnsi"/>
          <w:color w:val="auto"/>
        </w:rPr>
        <w:t>，腌制</w:t>
      </w:r>
      <w:r>
        <w:rPr>
          <w:rFonts w:hint="eastAsia" w:asciiTheme="minorHAnsi" w:hAnsiTheme="minorHAnsi"/>
          <w:color w:val="auto"/>
        </w:rPr>
        <w:t>，搅拌，</w:t>
      </w:r>
      <w:r>
        <w:rPr>
          <w:rFonts w:hint="eastAsia" w:cs="宋体" w:asciiTheme="minorHAnsi" w:hAnsiTheme="minorHAnsi"/>
          <w:color w:val="auto"/>
        </w:rPr>
        <w:t>成型，速冻，包装等工艺加工而成的</w:t>
      </w:r>
      <w:r>
        <w:rPr>
          <w:rFonts w:hint="eastAsia" w:cs="宋体" w:asciiTheme="minorHAnsi" w:hAnsiTheme="minorHAnsi"/>
          <w:color w:val="auto"/>
          <w:lang w:val="en-US" w:eastAsia="zh-CN"/>
        </w:rPr>
        <w:t>饼状</w:t>
      </w:r>
      <w:r>
        <w:rPr>
          <w:rFonts w:cs="宋体" w:asciiTheme="minorHAnsi" w:hAnsiTheme="minorHAnsi"/>
          <w:color w:val="auto"/>
        </w:rPr>
        <w:t>非即食肉类制品</w:t>
      </w:r>
      <w:r>
        <w:rPr>
          <w:rFonts w:hint="eastAsia" w:asciiTheme="minorHAnsi" w:hAnsiTheme="minorHAnsi"/>
          <w:color w:val="auto"/>
        </w:rPr>
        <w:t>。</w:t>
      </w:r>
    </w:p>
    <w:p w14:paraId="2C3AACC3">
      <w:pPr>
        <w:pStyle w:val="66"/>
      </w:pPr>
    </w:p>
    <w:p w14:paraId="42BD6D57">
      <w:pPr>
        <w:pStyle w:val="224"/>
        <w:numPr>
          <w:ilvl w:val="0"/>
          <w:numId w:val="0"/>
        </w:numPr>
        <w:ind w:left="420"/>
        <w:rPr>
          <w:color w:val="auto"/>
          <w:highlight w:val="none"/>
        </w:rPr>
      </w:pPr>
      <w:r>
        <w:rPr>
          <w:rFonts w:hint="eastAsia" w:ascii="黑体" w:hAnsi="黑体" w:eastAsia="黑体" w:cs="黑体"/>
        </w:rPr>
        <w:t>纯调制牛</w:t>
      </w:r>
      <w:r>
        <w:rPr>
          <w:rFonts w:hint="eastAsia" w:ascii="黑体" w:hAnsi="黑体" w:eastAsia="黑体" w:cs="黑体"/>
          <w:color w:val="auto"/>
          <w:highlight w:val="none"/>
        </w:rPr>
        <w:t xml:space="preserve">肉饼 </w:t>
      </w:r>
      <w:r>
        <w:rPr>
          <w:rFonts w:hint="eastAsia" w:ascii="黑体" w:hAnsi="黑体" w:eastAsia="黑体" w:cs="黑体"/>
          <w:color w:val="auto"/>
          <w:highlight w:val="none"/>
          <w:lang w:val="en-US" w:eastAsia="zh-CN"/>
        </w:rPr>
        <w:t>f</w:t>
      </w:r>
      <w:r>
        <w:rPr>
          <w:rFonts w:hint="eastAsia" w:ascii="黑体" w:hAnsi="黑体" w:eastAsia="黑体" w:cs="黑体"/>
          <w:color w:val="auto"/>
          <w:highlight w:val="none"/>
        </w:rPr>
        <w:t>lavoured pure beef patty</w:t>
      </w:r>
      <w:r>
        <w:rPr>
          <w:rFonts w:hint="eastAsia"/>
          <w:color w:val="auto"/>
          <w:highlight w:val="none"/>
        </w:rPr>
        <w:t xml:space="preserve"> </w:t>
      </w:r>
    </w:p>
    <w:p w14:paraId="3F47FF78">
      <w:pPr>
        <w:pStyle w:val="57"/>
        <w:ind w:firstLine="0" w:firstLineChars="0"/>
        <w:rPr>
          <w:rFonts w:asciiTheme="minorHAnsi" w:hAnsiTheme="minorHAnsi"/>
          <w:color w:val="auto"/>
          <w:highlight w:val="none"/>
        </w:rPr>
      </w:pPr>
      <w:r>
        <w:rPr>
          <w:rFonts w:hint="eastAsia" w:asciiTheme="minorHAnsi" w:hAnsiTheme="minorHAnsi"/>
          <w:color w:val="auto"/>
          <w:highlight w:val="none"/>
        </w:rPr>
        <w:t xml:space="preserve"> </w:t>
      </w:r>
      <w:r>
        <w:rPr>
          <w:rFonts w:asciiTheme="minorHAnsi" w:hAnsiTheme="minorHAnsi"/>
          <w:color w:val="auto"/>
          <w:highlight w:val="none"/>
        </w:rPr>
        <w:t xml:space="preserve">  </w:t>
      </w:r>
      <w:r>
        <w:rPr>
          <w:rFonts w:hint="eastAsia" w:asciiTheme="minorHAnsi" w:hAnsiTheme="minorHAnsi"/>
          <w:color w:val="auto"/>
          <w:highlight w:val="none"/>
        </w:rPr>
        <w:t xml:space="preserve"> </w:t>
      </w:r>
      <w:r>
        <w:rPr>
          <w:rFonts w:hint="eastAsia" w:asciiTheme="minorHAnsi" w:hAnsiTheme="minorHAnsi"/>
          <w:color w:val="auto"/>
          <w:highlight w:val="none"/>
          <w:lang w:val="en-US" w:eastAsia="zh-CN"/>
        </w:rPr>
        <w:t>仅</w:t>
      </w:r>
      <w:r>
        <w:rPr>
          <w:rFonts w:hint="eastAsia" w:asciiTheme="minorHAnsi" w:hAnsiTheme="minorHAnsi"/>
          <w:color w:val="auto"/>
          <w:highlight w:val="none"/>
        </w:rPr>
        <w:t>以鲜（冻）分割牛肉为主要原料，经预处理，绞制，添加或不添加饮用水、食用盐、味精、</w:t>
      </w:r>
      <w:r>
        <w:rPr>
          <w:rFonts w:hint="eastAsia" w:asciiTheme="minorHAnsi" w:hAnsiTheme="minorHAnsi"/>
          <w:color w:val="auto"/>
          <w:highlight w:val="none"/>
          <w:lang w:val="en-US" w:eastAsia="zh-CN"/>
        </w:rPr>
        <w:t>白砂糖</w:t>
      </w:r>
      <w:r>
        <w:rPr>
          <w:rFonts w:hint="eastAsia" w:asciiTheme="minorHAnsi" w:hAnsiTheme="minorHAnsi"/>
          <w:color w:val="auto"/>
          <w:highlight w:val="none"/>
        </w:rPr>
        <w:t>等辅料的一种或几种、食品添加剂的一种或几种，经腌制，搅拌，</w:t>
      </w:r>
      <w:r>
        <w:rPr>
          <w:rFonts w:hint="eastAsia" w:cs="宋体" w:asciiTheme="minorHAnsi" w:hAnsiTheme="minorHAnsi"/>
          <w:color w:val="auto"/>
          <w:highlight w:val="none"/>
        </w:rPr>
        <w:t>成型，速冻，包装等工艺加工而成的</w:t>
      </w:r>
      <w:r>
        <w:rPr>
          <w:rFonts w:hint="eastAsia" w:cs="宋体" w:asciiTheme="minorHAnsi" w:hAnsiTheme="minorHAnsi"/>
          <w:color w:val="auto"/>
          <w:highlight w:val="none"/>
          <w:lang w:val="en-US" w:eastAsia="zh-CN"/>
        </w:rPr>
        <w:t>饼状</w:t>
      </w:r>
      <w:r>
        <w:rPr>
          <w:rFonts w:cs="宋体" w:asciiTheme="minorHAnsi" w:hAnsiTheme="minorHAnsi"/>
          <w:color w:val="auto"/>
          <w:highlight w:val="none"/>
        </w:rPr>
        <w:t>非即食肉类制品</w:t>
      </w:r>
      <w:r>
        <w:rPr>
          <w:rFonts w:hint="eastAsia" w:cs="宋体" w:asciiTheme="minorHAnsi" w:hAnsiTheme="minorHAnsi"/>
          <w:color w:val="auto"/>
          <w:highlight w:val="none"/>
        </w:rPr>
        <w:t>。</w:t>
      </w:r>
    </w:p>
    <w:p w14:paraId="14BA5EBB">
      <w:pPr>
        <w:pStyle w:val="66"/>
        <w:rPr>
          <w:color w:val="auto"/>
        </w:rPr>
      </w:pPr>
    </w:p>
    <w:p w14:paraId="5069BDD8">
      <w:pPr>
        <w:pStyle w:val="224"/>
        <w:numPr>
          <w:ilvl w:val="0"/>
          <w:numId w:val="0"/>
        </w:numPr>
        <w:ind w:left="420"/>
        <w:rPr>
          <w:color w:val="auto"/>
        </w:rPr>
      </w:pPr>
      <w:r>
        <w:rPr>
          <w:rFonts w:hint="eastAsia" w:ascii="黑体" w:hAnsi="黑体" w:eastAsia="黑体" w:cs="黑体"/>
          <w:color w:val="auto"/>
        </w:rPr>
        <w:t xml:space="preserve">混合调制牛肉饼 </w:t>
      </w:r>
      <w:bookmarkStart w:id="45" w:name="OLE_LINK10"/>
      <w:r>
        <w:rPr>
          <w:rFonts w:hint="eastAsia" w:ascii="黑体" w:hAnsi="黑体" w:eastAsia="黑体" w:cs="黑体"/>
          <w:color w:val="auto"/>
          <w:lang w:val="en-US" w:eastAsia="zh-CN"/>
        </w:rPr>
        <w:t>m</w:t>
      </w:r>
      <w:r>
        <w:rPr>
          <w:rFonts w:hint="eastAsia" w:ascii="黑体" w:hAnsi="黑体" w:eastAsia="黑体" w:cs="黑体"/>
          <w:color w:val="auto"/>
        </w:rPr>
        <w:t>ixed-flavor beef patty</w:t>
      </w:r>
      <w:bookmarkEnd w:id="45"/>
    </w:p>
    <w:p w14:paraId="6E2C303C">
      <w:pPr>
        <w:pStyle w:val="57"/>
        <w:ind w:firstLine="420"/>
        <w:rPr>
          <w:rFonts w:asciiTheme="minorHAnsi" w:hAnsiTheme="minorHAnsi"/>
          <w:color w:val="auto"/>
        </w:rPr>
      </w:pPr>
      <w:r>
        <w:rPr>
          <w:rFonts w:hint="eastAsia" w:asciiTheme="minorHAnsi" w:hAnsiTheme="minorHAnsi"/>
          <w:color w:val="auto"/>
        </w:rPr>
        <w:t>以鲜（冻）分割牛肉为主要原料，经预处理，绞制，添加或不添加饮用水、食用盐、味精、</w:t>
      </w:r>
      <w:r>
        <w:rPr>
          <w:rFonts w:hint="eastAsia" w:asciiTheme="minorHAnsi" w:hAnsiTheme="minorHAnsi"/>
          <w:color w:val="auto"/>
          <w:lang w:val="en-US" w:eastAsia="zh-CN"/>
        </w:rPr>
        <w:t>白砂糖</w:t>
      </w:r>
      <w:r>
        <w:rPr>
          <w:rFonts w:hint="eastAsia" w:asciiTheme="minorHAnsi" w:hAnsiTheme="minorHAnsi"/>
          <w:color w:val="auto"/>
        </w:rPr>
        <w:t>等辅料的一种或几种、食品添加剂的一种或几种，添加或不添加植物蛋白等非肉类蛋白质，添加或不添加蔬菜、水果、谷物、豆类、薯类、蛋类、食用菌、坚果等的一种或几种，不添加其他畜禽肉</w:t>
      </w:r>
      <w:r>
        <w:rPr>
          <w:rFonts w:hint="eastAsia" w:asciiTheme="minorHAnsi" w:hAnsiTheme="minorHAnsi"/>
          <w:color w:val="0000FF"/>
          <w:lang w:val="en-US" w:eastAsia="zh-CN"/>
        </w:rPr>
        <w:t>及其制品</w:t>
      </w:r>
      <w:r>
        <w:rPr>
          <w:rFonts w:hint="eastAsia" w:asciiTheme="minorHAnsi" w:hAnsiTheme="minorHAnsi"/>
          <w:color w:val="auto"/>
        </w:rPr>
        <w:t>，经腌制，搅拌，</w:t>
      </w:r>
      <w:r>
        <w:rPr>
          <w:rFonts w:hint="eastAsia" w:cs="宋体" w:asciiTheme="minorHAnsi" w:hAnsiTheme="minorHAnsi"/>
          <w:color w:val="auto"/>
        </w:rPr>
        <w:t>成型，速冻，包装等工艺加工而成的</w:t>
      </w:r>
      <w:r>
        <w:rPr>
          <w:rFonts w:hint="eastAsia" w:cs="宋体" w:asciiTheme="minorHAnsi" w:hAnsiTheme="minorHAnsi"/>
          <w:color w:val="auto"/>
          <w:lang w:val="en-US" w:eastAsia="zh-CN"/>
        </w:rPr>
        <w:t>饼状</w:t>
      </w:r>
      <w:r>
        <w:rPr>
          <w:rFonts w:cs="宋体" w:asciiTheme="minorHAnsi" w:hAnsiTheme="minorHAnsi"/>
          <w:color w:val="auto"/>
        </w:rPr>
        <w:t>非即食肉类制品</w:t>
      </w:r>
      <w:r>
        <w:rPr>
          <w:rFonts w:hint="eastAsia" w:cs="宋体" w:asciiTheme="minorHAnsi" w:hAnsiTheme="minorHAnsi"/>
          <w:color w:val="auto"/>
        </w:rPr>
        <w:t>。</w:t>
      </w:r>
    </w:p>
    <w:p w14:paraId="11863E4B">
      <w:pPr>
        <w:pStyle w:val="57"/>
        <w:ind w:firstLine="0" w:firstLineChars="0"/>
        <w:rPr>
          <w:rFonts w:asciiTheme="minorHAnsi" w:hAnsiTheme="minorHAnsi"/>
        </w:rPr>
      </w:pPr>
    </w:p>
    <w:p w14:paraId="00C2A8DB">
      <w:pPr>
        <w:pStyle w:val="105"/>
      </w:pPr>
      <w:r>
        <w:t>分类</w:t>
      </w:r>
    </w:p>
    <w:p w14:paraId="78CC1DB9">
      <w:pPr>
        <w:pStyle w:val="163"/>
        <w:numPr>
          <w:ilvl w:val="0"/>
          <w:numId w:val="0"/>
        </w:numPr>
        <w:ind w:firstLine="420" w:firstLineChars="200"/>
      </w:pPr>
      <w:r>
        <w:rPr>
          <w:rFonts w:hint="eastAsia"/>
        </w:rPr>
        <w:t>按照产品加工方式的不同可分为：</w:t>
      </w:r>
    </w:p>
    <w:p w14:paraId="55933484">
      <w:pPr>
        <w:pStyle w:val="57"/>
        <w:numPr>
          <w:ilvl w:val="0"/>
          <w:numId w:val="32"/>
        </w:numPr>
        <w:ind w:firstLineChars="0"/>
        <w:rPr>
          <w:rFonts w:asciiTheme="minorHAnsi" w:hAnsiTheme="minorHAnsi"/>
        </w:rPr>
      </w:pPr>
      <w:r>
        <w:rPr>
          <w:rFonts w:hint="eastAsia" w:asciiTheme="minorHAnsi" w:hAnsiTheme="minorHAnsi"/>
        </w:rPr>
        <w:t>纯</w:t>
      </w:r>
      <w:r>
        <w:rPr>
          <w:rFonts w:asciiTheme="minorHAnsi" w:hAnsiTheme="minorHAnsi"/>
        </w:rPr>
        <w:t>牛肉饼</w:t>
      </w:r>
      <w:r>
        <w:rPr>
          <w:rFonts w:hint="eastAsia" w:asciiTheme="minorHAnsi" w:hAnsiTheme="minorHAnsi"/>
        </w:rPr>
        <w:t>；</w:t>
      </w:r>
    </w:p>
    <w:p w14:paraId="66EB214F">
      <w:pPr>
        <w:pStyle w:val="57"/>
        <w:numPr>
          <w:ilvl w:val="0"/>
          <w:numId w:val="32"/>
        </w:numPr>
        <w:ind w:firstLineChars="0"/>
        <w:rPr>
          <w:rFonts w:asciiTheme="minorHAnsi" w:hAnsiTheme="minorHAnsi"/>
        </w:rPr>
      </w:pPr>
      <w:r>
        <w:rPr>
          <w:rFonts w:hint="eastAsia" w:asciiTheme="minorHAnsi" w:hAnsiTheme="minorHAnsi"/>
        </w:rPr>
        <w:t>调制</w:t>
      </w:r>
      <w:r>
        <w:rPr>
          <w:rFonts w:asciiTheme="minorHAnsi" w:hAnsiTheme="minorHAnsi"/>
        </w:rPr>
        <w:t>牛肉饼</w:t>
      </w:r>
      <w:r>
        <w:rPr>
          <w:rFonts w:hint="eastAsia" w:asciiTheme="minorHAnsi" w:hAnsiTheme="minorHAnsi"/>
        </w:rPr>
        <w:t>：纯调制牛肉饼</w:t>
      </w:r>
      <w:r>
        <w:rPr>
          <w:rFonts w:hint="eastAsia" w:asciiTheme="minorHAnsi" w:hAnsiTheme="minorHAnsi"/>
          <w:lang w:eastAsia="zh-CN"/>
        </w:rPr>
        <w:t>、</w:t>
      </w:r>
      <w:r>
        <w:rPr>
          <w:rFonts w:hint="eastAsia" w:asciiTheme="minorHAnsi" w:hAnsiTheme="minorHAnsi"/>
        </w:rPr>
        <w:t>混合调制牛肉饼。</w:t>
      </w:r>
    </w:p>
    <w:p w14:paraId="70A4F249">
      <w:pPr>
        <w:pStyle w:val="105"/>
      </w:pPr>
      <w:r>
        <w:t>原辅料要求</w:t>
      </w:r>
    </w:p>
    <w:p w14:paraId="4CF7EA0A">
      <w:pPr>
        <w:pStyle w:val="106"/>
        <w:rPr>
          <w:color w:val="auto"/>
        </w:rPr>
      </w:pPr>
      <w:r>
        <w:t>水</w:t>
      </w:r>
    </w:p>
    <w:p w14:paraId="159C8B12">
      <w:pPr>
        <w:pStyle w:val="57"/>
        <w:ind w:firstLine="392"/>
        <w:rPr>
          <w:rFonts w:asciiTheme="minorHAnsi" w:hAnsiTheme="minorHAnsi"/>
          <w:color w:val="auto"/>
        </w:rPr>
      </w:pPr>
      <w:r>
        <w:rPr>
          <w:rFonts w:cs="宋体" w:asciiTheme="minorHAnsi" w:hAnsiTheme="minorHAnsi"/>
          <w:color w:val="auto"/>
          <w:spacing w:val="-7"/>
          <w:szCs w:val="21"/>
        </w:rPr>
        <w:t>应符合 GB 5749 的规定。</w:t>
      </w:r>
    </w:p>
    <w:p w14:paraId="5CD5290D">
      <w:pPr>
        <w:pStyle w:val="106"/>
        <w:rPr>
          <w:rFonts w:cs="宋体"/>
          <w:color w:val="auto"/>
          <w:spacing w:val="-2"/>
        </w:rPr>
      </w:pPr>
      <w:r>
        <w:rPr>
          <w:rFonts w:hint="eastAsia"/>
          <w:color w:val="auto"/>
        </w:rPr>
        <w:t>鲜（冻）分割牛肉</w:t>
      </w:r>
    </w:p>
    <w:p w14:paraId="0B67488F">
      <w:pPr>
        <w:spacing w:before="60" w:line="221" w:lineRule="auto"/>
        <w:ind w:firstLine="412" w:firstLineChars="200"/>
        <w:rPr>
          <w:rFonts w:cs="宋体" w:asciiTheme="minorHAnsi" w:hAnsiTheme="minorHAnsi"/>
          <w:color w:val="auto"/>
        </w:rPr>
      </w:pPr>
      <w:r>
        <w:rPr>
          <w:rFonts w:cs="宋体" w:asciiTheme="minorHAnsi" w:hAnsiTheme="minorHAnsi"/>
          <w:color w:val="auto"/>
          <w:spacing w:val="-2"/>
        </w:rPr>
        <w:t>应符合</w:t>
      </w:r>
      <w:r>
        <w:rPr>
          <w:rFonts w:cs="宋体" w:asciiTheme="minorHAnsi" w:hAnsiTheme="minorHAnsi"/>
          <w:color w:val="auto"/>
        </w:rPr>
        <w:t>GB</w:t>
      </w:r>
      <w:r>
        <w:rPr>
          <w:rFonts w:cs="宋体" w:asciiTheme="minorHAnsi" w:hAnsiTheme="minorHAnsi"/>
          <w:color w:val="auto"/>
          <w:spacing w:val="-2"/>
        </w:rPr>
        <w:t xml:space="preserve"> 2707</w:t>
      </w:r>
      <w:r>
        <w:rPr>
          <w:rFonts w:hint="eastAsia" w:cs="宋体" w:asciiTheme="minorHAnsi" w:hAnsiTheme="minorHAnsi"/>
          <w:color w:val="auto"/>
          <w:spacing w:val="-2"/>
        </w:rPr>
        <w:t xml:space="preserve"> 或</w:t>
      </w:r>
      <w:r>
        <w:rPr>
          <w:rFonts w:cs="宋体" w:asciiTheme="minorHAnsi" w:hAnsiTheme="minorHAnsi"/>
          <w:color w:val="auto"/>
          <w:spacing w:val="-2"/>
        </w:rPr>
        <w:t>GB/T 17238的规定。</w:t>
      </w:r>
    </w:p>
    <w:p w14:paraId="567C815E">
      <w:pPr>
        <w:pStyle w:val="106"/>
      </w:pPr>
      <w:r>
        <w:rPr>
          <w:rFonts w:hint="eastAsia"/>
        </w:rPr>
        <w:t>食品添加剂</w:t>
      </w:r>
    </w:p>
    <w:p w14:paraId="43A97237">
      <w:pPr>
        <w:pStyle w:val="57"/>
        <w:ind w:firstLine="412"/>
        <w:rPr>
          <w:rFonts w:cs="宋体" w:asciiTheme="minorHAnsi" w:hAnsiTheme="minorHAnsi"/>
          <w:spacing w:val="-2"/>
          <w:szCs w:val="21"/>
        </w:rPr>
      </w:pPr>
      <w:r>
        <w:rPr>
          <w:rFonts w:hint="eastAsia" w:cs="宋体" w:asciiTheme="minorHAnsi" w:hAnsiTheme="minorHAnsi"/>
          <w:spacing w:val="-2"/>
          <w:szCs w:val="21"/>
        </w:rPr>
        <w:t>应符合相应的食品</w:t>
      </w:r>
      <w:r>
        <w:rPr>
          <w:rFonts w:hint="eastAsia" w:cs="宋体" w:asciiTheme="minorHAnsi" w:hAnsiTheme="minorHAnsi"/>
          <w:spacing w:val="-2"/>
          <w:szCs w:val="21"/>
          <w:lang w:val="en-US" w:eastAsia="zh-CN"/>
        </w:rPr>
        <w:t>国家</w:t>
      </w:r>
      <w:r>
        <w:rPr>
          <w:rFonts w:hint="eastAsia" w:cs="宋体" w:asciiTheme="minorHAnsi" w:hAnsiTheme="minorHAnsi"/>
          <w:spacing w:val="-2"/>
          <w:szCs w:val="21"/>
        </w:rPr>
        <w:t>标准</w:t>
      </w:r>
      <w:r>
        <w:rPr>
          <w:rFonts w:hint="eastAsia" w:cs="宋体" w:asciiTheme="minorHAnsi" w:hAnsiTheme="minorHAnsi"/>
          <w:spacing w:val="-2"/>
          <w:szCs w:val="21"/>
          <w:lang w:val="en-US" w:eastAsia="zh-CN"/>
        </w:rPr>
        <w:t>或行业标准的</w:t>
      </w:r>
      <w:r>
        <w:rPr>
          <w:rFonts w:hint="eastAsia" w:cs="宋体" w:asciiTheme="minorHAnsi" w:hAnsiTheme="minorHAnsi"/>
          <w:spacing w:val="-2"/>
          <w:szCs w:val="21"/>
        </w:rPr>
        <w:t>规定。</w:t>
      </w:r>
    </w:p>
    <w:p w14:paraId="6680738E">
      <w:pPr>
        <w:pStyle w:val="106"/>
        <w:rPr>
          <w:color w:val="auto"/>
          <w:spacing w:val="-2"/>
        </w:rPr>
      </w:pPr>
      <w:r>
        <w:rPr>
          <w:rFonts w:hint="eastAsia"/>
          <w:color w:val="auto"/>
        </w:rPr>
        <w:t>其他原</w:t>
      </w:r>
      <w:r>
        <w:rPr>
          <w:color w:val="auto"/>
          <w:spacing w:val="-2"/>
        </w:rPr>
        <w:t>辅料</w:t>
      </w:r>
    </w:p>
    <w:p w14:paraId="21E119E5">
      <w:pPr>
        <w:pStyle w:val="57"/>
        <w:ind w:firstLine="412"/>
        <w:rPr>
          <w:rFonts w:cs="宋体" w:asciiTheme="minorHAnsi" w:hAnsiTheme="minorHAnsi"/>
          <w:color w:val="auto"/>
          <w:spacing w:val="-2"/>
          <w:szCs w:val="21"/>
        </w:rPr>
      </w:pPr>
      <w:r>
        <w:rPr>
          <w:rFonts w:cs="宋体" w:asciiTheme="minorHAnsi" w:hAnsiTheme="minorHAnsi"/>
          <w:spacing w:val="-2"/>
          <w:szCs w:val="21"/>
        </w:rPr>
        <w:t>应符合</w:t>
      </w:r>
      <w:r>
        <w:rPr>
          <w:rFonts w:hint="eastAsia" w:cs="宋体" w:asciiTheme="minorHAnsi" w:hAnsiTheme="minorHAnsi"/>
          <w:color w:val="auto"/>
          <w:spacing w:val="-2"/>
          <w:szCs w:val="21"/>
        </w:rPr>
        <w:t>相应的食品</w:t>
      </w:r>
      <w:r>
        <w:rPr>
          <w:rFonts w:hint="eastAsia" w:cs="宋体" w:asciiTheme="minorHAnsi" w:hAnsiTheme="minorHAnsi"/>
          <w:color w:val="auto"/>
          <w:spacing w:val="-2"/>
          <w:szCs w:val="21"/>
          <w:lang w:val="en-US" w:eastAsia="zh-CN"/>
        </w:rPr>
        <w:t>国家</w:t>
      </w:r>
      <w:r>
        <w:rPr>
          <w:rFonts w:hint="eastAsia" w:cs="宋体" w:asciiTheme="minorHAnsi" w:hAnsiTheme="minorHAnsi"/>
          <w:color w:val="auto"/>
          <w:spacing w:val="-2"/>
          <w:szCs w:val="21"/>
        </w:rPr>
        <w:t>标准</w:t>
      </w:r>
      <w:bookmarkStart w:id="46" w:name="OLE_LINK14"/>
      <w:r>
        <w:rPr>
          <w:rFonts w:hint="eastAsia" w:cs="宋体" w:asciiTheme="minorHAnsi" w:hAnsiTheme="minorHAnsi"/>
          <w:color w:val="auto"/>
          <w:spacing w:val="-2"/>
          <w:szCs w:val="21"/>
          <w:lang w:val="en-US" w:eastAsia="zh-CN"/>
        </w:rPr>
        <w:t>或</w:t>
      </w:r>
      <w:bookmarkEnd w:id="46"/>
      <w:r>
        <w:rPr>
          <w:rFonts w:hint="eastAsia" w:cs="宋体" w:asciiTheme="minorHAnsi" w:hAnsiTheme="minorHAnsi"/>
          <w:color w:val="auto"/>
          <w:spacing w:val="-2"/>
          <w:szCs w:val="21"/>
          <w:lang w:val="en-US" w:eastAsia="zh-CN"/>
        </w:rPr>
        <w:t>行业标准的</w:t>
      </w:r>
      <w:r>
        <w:rPr>
          <w:rFonts w:hint="eastAsia" w:cs="宋体" w:asciiTheme="minorHAnsi" w:hAnsiTheme="minorHAnsi"/>
          <w:color w:val="auto"/>
          <w:spacing w:val="-2"/>
          <w:szCs w:val="21"/>
        </w:rPr>
        <w:t>规定</w:t>
      </w:r>
      <w:r>
        <w:rPr>
          <w:rFonts w:cs="宋体" w:asciiTheme="minorHAnsi" w:hAnsiTheme="minorHAnsi"/>
          <w:color w:val="auto"/>
          <w:spacing w:val="-2"/>
          <w:szCs w:val="21"/>
        </w:rPr>
        <w:t>。</w:t>
      </w:r>
    </w:p>
    <w:p w14:paraId="6756D65C">
      <w:pPr>
        <w:pStyle w:val="105"/>
        <w:rPr>
          <w:color w:val="auto"/>
        </w:rPr>
      </w:pPr>
      <w:r>
        <w:rPr>
          <w:rFonts w:hint="eastAsia"/>
          <w:color w:val="auto"/>
        </w:rPr>
        <w:t>投料要求</w:t>
      </w:r>
    </w:p>
    <w:p w14:paraId="43FA5747">
      <w:pPr>
        <w:spacing w:line="240" w:lineRule="auto"/>
        <w:ind w:firstLine="388" w:firstLineChars="200"/>
        <w:jc w:val="both"/>
        <w:rPr>
          <w:rFonts w:hint="eastAsia" w:hAnsi="宋体" w:cs="宋体"/>
          <w:color w:val="auto"/>
          <w:spacing w:val="-8"/>
          <w:highlight w:val="none"/>
          <w:lang w:eastAsia="zh-CN"/>
        </w:rPr>
      </w:pPr>
      <w:r>
        <w:rPr>
          <w:rFonts w:hint="eastAsia" w:hAnsi="宋体" w:cs="宋体"/>
          <w:color w:val="auto"/>
          <w:spacing w:val="-8"/>
        </w:rPr>
        <w:t>应</w:t>
      </w:r>
      <w:r>
        <w:rPr>
          <w:rFonts w:hint="eastAsia" w:hAnsi="宋体" w:cs="宋体"/>
          <w:color w:val="auto"/>
          <w:spacing w:val="-8"/>
          <w:lang w:val="en-US" w:eastAsia="zh-CN"/>
        </w:rPr>
        <w:t>符合表1的</w:t>
      </w:r>
      <w:r>
        <w:rPr>
          <w:rFonts w:hint="eastAsia" w:hAnsi="宋体" w:cs="宋体"/>
          <w:color w:val="auto"/>
          <w:spacing w:val="-8"/>
        </w:rPr>
        <w:t>规定</w:t>
      </w:r>
      <w:r>
        <w:rPr>
          <w:rFonts w:hint="eastAsia" w:hAnsi="宋体" w:cs="宋体"/>
          <w:color w:val="auto"/>
          <w:spacing w:val="-8"/>
          <w:lang w:eastAsia="zh-CN"/>
        </w:rPr>
        <w:t>。</w:t>
      </w:r>
    </w:p>
    <w:p w14:paraId="31460B84">
      <w:pPr>
        <w:spacing w:line="240" w:lineRule="auto"/>
        <w:ind w:firstLine="388" w:firstLineChars="200"/>
        <w:jc w:val="both"/>
        <w:rPr>
          <w:rFonts w:hint="eastAsia" w:hAnsi="宋体" w:cs="宋体"/>
          <w:color w:val="auto"/>
          <w:spacing w:val="-8"/>
          <w:highlight w:val="none"/>
          <w:lang w:eastAsia="zh-CN"/>
        </w:rPr>
      </w:pPr>
    </w:p>
    <w:p w14:paraId="6AC918F3">
      <w:pPr>
        <w:spacing w:line="240" w:lineRule="auto"/>
        <w:jc w:val="center"/>
        <w:rPr>
          <w:rFonts w:hint="default" w:hAnsi="宋体" w:eastAsia="宋体" w:cs="宋体"/>
          <w:color w:val="auto"/>
          <w:spacing w:val="-8"/>
          <w:highlight w:val="none"/>
          <w:lang w:val="en-US" w:eastAsia="zh-CN"/>
        </w:rPr>
      </w:pPr>
      <w:r>
        <w:rPr>
          <w:rFonts w:hint="eastAsia" w:hAnsi="宋体" w:cs="宋体"/>
          <w:color w:val="auto"/>
          <w:spacing w:val="-8"/>
          <w:highlight w:val="none"/>
        </w:rPr>
        <w:t xml:space="preserve">表1 </w:t>
      </w:r>
      <w:r>
        <w:rPr>
          <w:rFonts w:hint="eastAsia" w:hAnsi="宋体" w:cs="宋体"/>
          <w:color w:val="auto"/>
          <w:spacing w:val="-8"/>
          <w:highlight w:val="none"/>
          <w:lang w:val="en-US" w:eastAsia="zh-CN"/>
        </w:rPr>
        <w:t>投料要求</w:t>
      </w:r>
    </w:p>
    <w:p w14:paraId="3311B3C6">
      <w:pPr>
        <w:spacing w:line="240" w:lineRule="auto"/>
        <w:jc w:val="center"/>
        <w:rPr>
          <w:rFonts w:hint="eastAsia" w:hAnsi="宋体" w:cs="宋体"/>
          <w:color w:val="auto"/>
          <w:spacing w:val="-8"/>
          <w:highlight w:val="none"/>
        </w:rPr>
      </w:pP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1"/>
        <w:gridCol w:w="2605"/>
        <w:gridCol w:w="3519"/>
        <w:gridCol w:w="1303"/>
      </w:tblGrid>
      <w:tr w14:paraId="1001C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41" w:type="dxa"/>
            <w:vAlign w:val="center"/>
          </w:tcPr>
          <w:p w14:paraId="6C7B0FAE">
            <w:pPr>
              <w:pStyle w:val="163"/>
              <w:numPr>
                <w:ilvl w:val="-1"/>
                <w:numId w:val="0"/>
              </w:numPr>
              <w:jc w:val="center"/>
              <w:rPr>
                <w:rFonts w:hint="eastAsia" w:eastAsia="宋体"/>
                <w:b w:val="0"/>
                <w:bCs w:val="0"/>
                <w:color w:val="auto"/>
                <w:highlight w:val="none"/>
                <w:vertAlign w:val="baseline"/>
                <w:lang w:val="en-US" w:eastAsia="zh-CN"/>
              </w:rPr>
            </w:pPr>
            <w:r>
              <w:rPr>
                <w:rFonts w:hint="eastAsia"/>
                <w:b w:val="0"/>
                <w:bCs w:val="0"/>
                <w:color w:val="auto"/>
                <w:highlight w:val="none"/>
                <w:vertAlign w:val="baseline"/>
                <w:lang w:val="en-US" w:eastAsia="zh-CN"/>
              </w:rPr>
              <w:t>类别</w:t>
            </w:r>
          </w:p>
        </w:tc>
        <w:tc>
          <w:tcPr>
            <w:tcW w:w="2605" w:type="dxa"/>
            <w:vAlign w:val="center"/>
          </w:tcPr>
          <w:p w14:paraId="30E6365E">
            <w:pPr>
              <w:pStyle w:val="163"/>
              <w:numPr>
                <w:ilvl w:val="-1"/>
                <w:numId w:val="0"/>
              </w:numPr>
              <w:jc w:val="center"/>
              <w:rPr>
                <w:rFonts w:hint="eastAsia" w:eastAsia="宋体"/>
                <w:b w:val="0"/>
                <w:bCs w:val="0"/>
                <w:color w:val="auto"/>
                <w:highlight w:val="none"/>
                <w:vertAlign w:val="baseline"/>
                <w:lang w:val="en-US" w:eastAsia="zh-CN"/>
              </w:rPr>
            </w:pPr>
            <w:r>
              <w:rPr>
                <w:rFonts w:hint="eastAsia"/>
                <w:b w:val="0"/>
                <w:bCs w:val="0"/>
                <w:color w:val="auto"/>
                <w:highlight w:val="none"/>
                <w:vertAlign w:val="baseline"/>
                <w:lang w:val="en-US" w:eastAsia="zh-CN"/>
              </w:rPr>
              <w:t>主料</w:t>
            </w:r>
          </w:p>
        </w:tc>
        <w:tc>
          <w:tcPr>
            <w:tcW w:w="3519" w:type="dxa"/>
            <w:vAlign w:val="center"/>
          </w:tcPr>
          <w:p w14:paraId="53871F63">
            <w:pPr>
              <w:pStyle w:val="163"/>
              <w:numPr>
                <w:ilvl w:val="-1"/>
                <w:numId w:val="0"/>
              </w:numPr>
              <w:jc w:val="center"/>
              <w:rPr>
                <w:rFonts w:hint="default" w:eastAsia="宋体"/>
                <w:b w:val="0"/>
                <w:bCs w:val="0"/>
                <w:color w:val="auto"/>
                <w:highlight w:val="none"/>
                <w:vertAlign w:val="baseline"/>
                <w:lang w:val="en-US" w:eastAsia="zh-CN"/>
              </w:rPr>
            </w:pPr>
            <w:r>
              <w:rPr>
                <w:rFonts w:hint="eastAsia"/>
                <w:b w:val="0"/>
                <w:bCs w:val="0"/>
                <w:color w:val="auto"/>
                <w:highlight w:val="none"/>
                <w:vertAlign w:val="baseline"/>
                <w:lang w:val="en-US" w:eastAsia="zh-CN"/>
              </w:rPr>
              <w:t>在终产品净含量中的质量分数/（%）</w:t>
            </w:r>
          </w:p>
        </w:tc>
        <w:tc>
          <w:tcPr>
            <w:tcW w:w="1303" w:type="dxa"/>
            <w:vAlign w:val="center"/>
          </w:tcPr>
          <w:p w14:paraId="25E49C27">
            <w:pPr>
              <w:pStyle w:val="163"/>
              <w:numPr>
                <w:ilvl w:val="-1"/>
                <w:numId w:val="0"/>
              </w:numPr>
              <w:jc w:val="center"/>
              <w:rPr>
                <w:rFonts w:hint="default"/>
                <w:b w:val="0"/>
                <w:bCs w:val="0"/>
                <w:color w:val="auto"/>
                <w:highlight w:val="none"/>
                <w:vertAlign w:val="baseline"/>
                <w:lang w:val="en-US" w:eastAsia="zh-CN"/>
              </w:rPr>
            </w:pPr>
            <w:r>
              <w:rPr>
                <w:rFonts w:hint="eastAsia"/>
                <w:b w:val="0"/>
                <w:bCs w:val="0"/>
                <w:color w:val="auto"/>
                <w:highlight w:val="none"/>
                <w:vertAlign w:val="baseline"/>
                <w:lang w:val="en-US" w:eastAsia="zh-CN"/>
              </w:rPr>
              <w:t>检验方法</w:t>
            </w:r>
          </w:p>
        </w:tc>
      </w:tr>
      <w:tr w14:paraId="0889F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141" w:type="dxa"/>
            <w:vAlign w:val="center"/>
          </w:tcPr>
          <w:p w14:paraId="4A4BBA92">
            <w:pPr>
              <w:pStyle w:val="163"/>
              <w:numPr>
                <w:ilvl w:val="-1"/>
                <w:numId w:val="0"/>
              </w:numPr>
              <w:jc w:val="both"/>
              <w:rPr>
                <w:rFonts w:hint="default" w:eastAsia="宋体"/>
                <w:color w:val="auto"/>
                <w:highlight w:val="none"/>
                <w:vertAlign w:val="baseline"/>
                <w:lang w:val="en-US" w:eastAsia="zh-CN"/>
              </w:rPr>
            </w:pPr>
            <w:r>
              <w:rPr>
                <w:rFonts w:hint="eastAsia"/>
                <w:color w:val="auto"/>
                <w:highlight w:val="none"/>
                <w:vertAlign w:val="baseline"/>
                <w:lang w:val="en-US" w:eastAsia="zh-CN"/>
              </w:rPr>
              <w:t>纯牛肉饼</w:t>
            </w:r>
          </w:p>
        </w:tc>
        <w:tc>
          <w:tcPr>
            <w:tcW w:w="2605" w:type="dxa"/>
            <w:vAlign w:val="center"/>
          </w:tcPr>
          <w:p w14:paraId="665AB80C">
            <w:pPr>
              <w:pStyle w:val="163"/>
              <w:numPr>
                <w:ilvl w:val="-1"/>
                <w:numId w:val="0"/>
              </w:numPr>
              <w:jc w:val="both"/>
              <w:rPr>
                <w:rFonts w:hint="default" w:eastAsia="宋体"/>
                <w:color w:val="auto"/>
                <w:highlight w:val="none"/>
                <w:vertAlign w:val="baseline"/>
                <w:lang w:val="en-US" w:eastAsia="zh-CN"/>
              </w:rPr>
            </w:pPr>
            <w:r>
              <w:rPr>
                <w:rFonts w:hint="eastAsia"/>
                <w:color w:val="0000FF"/>
                <w:highlight w:val="none"/>
                <w:vertAlign w:val="baseline"/>
                <w:lang w:val="en-US" w:eastAsia="zh-CN"/>
              </w:rPr>
              <w:t>鲜（冻）分割牛肉</w:t>
            </w:r>
            <w:r>
              <w:rPr>
                <w:rFonts w:hint="eastAsia"/>
                <w:color w:val="auto"/>
                <w:highlight w:val="none"/>
                <w:vertAlign w:val="baseline"/>
                <w:lang w:val="en-US" w:eastAsia="zh-CN"/>
              </w:rPr>
              <w:t xml:space="preserve"> </w:t>
            </w:r>
            <w:r>
              <w:rPr>
                <w:rFonts w:hint="eastAsia"/>
                <w:color w:val="auto"/>
                <w:highlight w:val="none"/>
              </w:rPr>
              <w:t xml:space="preserve">  </w:t>
            </w:r>
            <w:r>
              <w:rPr>
                <w:rFonts w:hint="eastAsia"/>
                <w:color w:val="auto"/>
                <w:highlight w:val="none"/>
                <w:lang w:val="en-US" w:eastAsia="zh-CN"/>
              </w:rPr>
              <w:t xml:space="preserve"> ＝</w:t>
            </w:r>
          </w:p>
        </w:tc>
        <w:tc>
          <w:tcPr>
            <w:tcW w:w="3519" w:type="dxa"/>
            <w:vAlign w:val="center"/>
          </w:tcPr>
          <w:p w14:paraId="498EF90E">
            <w:pPr>
              <w:pStyle w:val="163"/>
              <w:numPr>
                <w:ilvl w:val="-1"/>
                <w:numId w:val="0"/>
              </w:numPr>
              <w:jc w:val="both"/>
              <w:rPr>
                <w:rFonts w:hint="default" w:eastAsia="宋体"/>
                <w:color w:val="auto"/>
                <w:highlight w:val="none"/>
                <w:vertAlign w:val="baseline"/>
                <w:lang w:val="en-US" w:eastAsia="zh-CN"/>
              </w:rPr>
            </w:pPr>
            <w:r>
              <w:rPr>
                <w:rFonts w:hint="eastAsia"/>
                <w:color w:val="auto"/>
                <w:highlight w:val="none"/>
                <w:vertAlign w:val="baseline"/>
                <w:lang w:val="en-US" w:eastAsia="zh-CN"/>
              </w:rPr>
              <w:t>100</w:t>
            </w:r>
          </w:p>
        </w:tc>
        <w:tc>
          <w:tcPr>
            <w:tcW w:w="1303" w:type="dxa"/>
            <w:vMerge w:val="restart"/>
            <w:vAlign w:val="center"/>
          </w:tcPr>
          <w:p w14:paraId="340D8B77">
            <w:pPr>
              <w:pStyle w:val="163"/>
              <w:numPr>
                <w:ilvl w:val="-1"/>
                <w:numId w:val="0"/>
              </w:numPr>
              <w:jc w:val="both"/>
              <w:rPr>
                <w:rFonts w:hint="default"/>
                <w:color w:val="auto"/>
                <w:highlight w:val="none"/>
                <w:vertAlign w:val="baseline"/>
                <w:lang w:val="en-US" w:eastAsia="zh-CN"/>
              </w:rPr>
            </w:pPr>
            <w:r>
              <w:rPr>
                <w:rFonts w:hint="eastAsia"/>
                <w:color w:val="auto"/>
                <w:highlight w:val="none"/>
                <w:vertAlign w:val="baseline"/>
                <w:lang w:val="en-US" w:eastAsia="zh-CN"/>
              </w:rPr>
              <w:t>按附录A规定的方法计算</w:t>
            </w:r>
          </w:p>
        </w:tc>
      </w:tr>
      <w:tr w14:paraId="6CAAC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2141" w:type="dxa"/>
            <w:vMerge w:val="restart"/>
            <w:vAlign w:val="center"/>
          </w:tcPr>
          <w:p w14:paraId="340CB857">
            <w:pPr>
              <w:pStyle w:val="163"/>
              <w:numPr>
                <w:ilvl w:val="-1"/>
                <w:numId w:val="0"/>
              </w:numPr>
              <w:jc w:val="both"/>
              <w:rPr>
                <w:rFonts w:hint="default" w:eastAsia="宋体"/>
                <w:color w:val="auto"/>
                <w:highlight w:val="none"/>
                <w:vertAlign w:val="baseline"/>
                <w:lang w:val="en-US" w:eastAsia="zh-CN"/>
              </w:rPr>
            </w:pPr>
            <w:r>
              <w:rPr>
                <w:rFonts w:hint="eastAsia"/>
                <w:color w:val="auto"/>
                <w:highlight w:val="none"/>
                <w:vertAlign w:val="baseline"/>
                <w:lang w:val="en-US" w:eastAsia="zh-CN"/>
              </w:rPr>
              <w:t>纯调制牛肉饼</w:t>
            </w:r>
          </w:p>
        </w:tc>
        <w:tc>
          <w:tcPr>
            <w:tcW w:w="2605" w:type="dxa"/>
            <w:vAlign w:val="center"/>
          </w:tcPr>
          <w:p w14:paraId="5DC8270E">
            <w:pPr>
              <w:pStyle w:val="163"/>
              <w:numPr>
                <w:ilvl w:val="-1"/>
                <w:numId w:val="0"/>
              </w:numPr>
              <w:jc w:val="both"/>
              <w:rPr>
                <w:rFonts w:hint="eastAsia" w:eastAsia="宋体"/>
                <w:color w:val="auto"/>
                <w:highlight w:val="none"/>
                <w:vertAlign w:val="baseline"/>
                <w:lang w:val="en-US" w:eastAsia="zh-CN"/>
              </w:rPr>
            </w:pPr>
            <w:r>
              <w:rPr>
                <w:rFonts w:hint="eastAsia"/>
                <w:color w:val="0000FF"/>
                <w:highlight w:val="none"/>
                <w:vertAlign w:val="baseline"/>
                <w:lang w:val="en-US" w:eastAsia="zh-CN"/>
              </w:rPr>
              <w:t>鲜（冻）分割牛肉</w:t>
            </w:r>
            <w:r>
              <w:rPr>
                <w:rFonts w:hint="eastAsia"/>
                <w:color w:val="auto"/>
                <w:highlight w:val="none"/>
                <w:vertAlign w:val="baseline"/>
                <w:lang w:val="en-US" w:eastAsia="zh-CN"/>
              </w:rPr>
              <w:t xml:space="preserve"> </w:t>
            </w:r>
            <w:r>
              <w:rPr>
                <w:rFonts w:hint="eastAsia"/>
                <w:color w:val="auto"/>
                <w:highlight w:val="none"/>
              </w:rPr>
              <w:t xml:space="preserve">  </w:t>
            </w:r>
            <w:r>
              <w:rPr>
                <w:rFonts w:hint="eastAsia"/>
                <w:color w:val="auto"/>
                <w:highlight w:val="none"/>
                <w:lang w:val="en-US" w:eastAsia="zh-CN"/>
              </w:rPr>
              <w:t xml:space="preserve"> </w:t>
            </w:r>
            <w:r>
              <w:rPr>
                <w:rFonts w:hint="eastAsia"/>
                <w:color w:val="auto"/>
                <w:highlight w:val="none"/>
                <w:vertAlign w:val="baseline"/>
                <w:lang w:val="en-US" w:eastAsia="zh-CN"/>
              </w:rPr>
              <w:t>≥</w:t>
            </w:r>
          </w:p>
        </w:tc>
        <w:tc>
          <w:tcPr>
            <w:tcW w:w="3519" w:type="dxa"/>
            <w:vAlign w:val="center"/>
          </w:tcPr>
          <w:p w14:paraId="759C2BB7">
            <w:pPr>
              <w:pStyle w:val="163"/>
              <w:numPr>
                <w:ilvl w:val="-1"/>
                <w:numId w:val="0"/>
              </w:numPr>
              <w:jc w:val="both"/>
              <w:rPr>
                <w:rFonts w:hint="default" w:eastAsia="宋体"/>
                <w:color w:val="auto"/>
                <w:highlight w:val="none"/>
                <w:vertAlign w:val="baseline"/>
                <w:lang w:val="en-US" w:eastAsia="zh-CN"/>
              </w:rPr>
            </w:pPr>
            <w:r>
              <w:rPr>
                <w:rFonts w:hint="eastAsia"/>
                <w:color w:val="auto"/>
                <w:highlight w:val="none"/>
                <w:vertAlign w:val="baseline"/>
                <w:lang w:val="en-US" w:eastAsia="zh-CN"/>
              </w:rPr>
              <w:t>85</w:t>
            </w:r>
          </w:p>
        </w:tc>
        <w:tc>
          <w:tcPr>
            <w:tcW w:w="1303" w:type="dxa"/>
            <w:vMerge w:val="continue"/>
            <w:vAlign w:val="center"/>
          </w:tcPr>
          <w:p w14:paraId="7641C9BE">
            <w:pPr>
              <w:pStyle w:val="163"/>
              <w:numPr>
                <w:ilvl w:val="-1"/>
                <w:numId w:val="0"/>
              </w:numPr>
              <w:jc w:val="both"/>
              <w:rPr>
                <w:rFonts w:hint="eastAsia"/>
                <w:color w:val="auto"/>
                <w:highlight w:val="none"/>
                <w:vertAlign w:val="baseline"/>
                <w:lang w:val="en-US" w:eastAsia="zh-CN"/>
              </w:rPr>
            </w:pPr>
          </w:p>
        </w:tc>
      </w:tr>
      <w:tr w14:paraId="0FD9D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2141" w:type="dxa"/>
            <w:vMerge w:val="continue"/>
            <w:vAlign w:val="center"/>
          </w:tcPr>
          <w:p w14:paraId="34AF6192">
            <w:pPr>
              <w:pStyle w:val="163"/>
              <w:numPr>
                <w:ilvl w:val="-1"/>
                <w:numId w:val="0"/>
              </w:numPr>
              <w:jc w:val="both"/>
              <w:rPr>
                <w:color w:val="auto"/>
                <w:highlight w:val="none"/>
                <w:vertAlign w:val="baseline"/>
              </w:rPr>
            </w:pPr>
          </w:p>
        </w:tc>
        <w:tc>
          <w:tcPr>
            <w:tcW w:w="2605" w:type="dxa"/>
            <w:vAlign w:val="center"/>
          </w:tcPr>
          <w:p w14:paraId="2453817E">
            <w:pPr>
              <w:pStyle w:val="163"/>
              <w:numPr>
                <w:ilvl w:val="-1"/>
                <w:numId w:val="0"/>
              </w:numPr>
              <w:jc w:val="both"/>
              <w:rPr>
                <w:rFonts w:hint="default" w:eastAsia="宋体"/>
                <w:color w:val="auto"/>
                <w:highlight w:val="none"/>
                <w:vertAlign w:val="baseline"/>
                <w:lang w:val="en-US" w:eastAsia="zh-CN"/>
              </w:rPr>
            </w:pPr>
            <w:r>
              <w:rPr>
                <w:rFonts w:hint="eastAsia"/>
                <w:color w:val="auto"/>
                <w:highlight w:val="none"/>
                <w:vertAlign w:val="baseline"/>
                <w:lang w:val="en-US" w:eastAsia="zh-CN"/>
              </w:rPr>
              <w:t>调味辅料及添加剂    ≤</w:t>
            </w:r>
          </w:p>
        </w:tc>
        <w:tc>
          <w:tcPr>
            <w:tcW w:w="3519" w:type="dxa"/>
            <w:vAlign w:val="center"/>
          </w:tcPr>
          <w:p w14:paraId="1AEE7A1A">
            <w:pPr>
              <w:pStyle w:val="163"/>
              <w:numPr>
                <w:ilvl w:val="-1"/>
                <w:numId w:val="0"/>
              </w:numPr>
              <w:jc w:val="both"/>
              <w:rPr>
                <w:rFonts w:hint="default" w:eastAsia="宋体"/>
                <w:color w:val="auto"/>
                <w:highlight w:val="none"/>
                <w:vertAlign w:val="baseline"/>
                <w:lang w:val="en-US" w:eastAsia="zh-CN"/>
              </w:rPr>
            </w:pPr>
            <w:r>
              <w:rPr>
                <w:rFonts w:hint="eastAsia"/>
                <w:color w:val="auto"/>
                <w:highlight w:val="none"/>
                <w:vertAlign w:val="baseline"/>
                <w:lang w:val="en-US" w:eastAsia="zh-CN"/>
              </w:rPr>
              <w:t>15</w:t>
            </w:r>
          </w:p>
        </w:tc>
        <w:tc>
          <w:tcPr>
            <w:tcW w:w="1303" w:type="dxa"/>
            <w:vMerge w:val="continue"/>
            <w:vAlign w:val="center"/>
          </w:tcPr>
          <w:p w14:paraId="2777839C">
            <w:pPr>
              <w:pStyle w:val="163"/>
              <w:numPr>
                <w:ilvl w:val="-1"/>
                <w:numId w:val="0"/>
              </w:numPr>
              <w:jc w:val="both"/>
              <w:rPr>
                <w:rFonts w:hint="eastAsia"/>
                <w:color w:val="auto"/>
                <w:highlight w:val="none"/>
                <w:vertAlign w:val="baseline"/>
                <w:lang w:val="en-US" w:eastAsia="zh-CN"/>
              </w:rPr>
            </w:pPr>
          </w:p>
        </w:tc>
      </w:tr>
      <w:tr w14:paraId="328FB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2141" w:type="dxa"/>
            <w:vMerge w:val="restart"/>
            <w:vAlign w:val="center"/>
          </w:tcPr>
          <w:p w14:paraId="6CCBF6A8">
            <w:pPr>
              <w:pStyle w:val="163"/>
              <w:numPr>
                <w:ilvl w:val="-1"/>
                <w:numId w:val="0"/>
              </w:numPr>
              <w:jc w:val="both"/>
              <w:rPr>
                <w:rFonts w:hint="default" w:eastAsia="宋体"/>
                <w:color w:val="auto"/>
                <w:highlight w:val="none"/>
                <w:vertAlign w:val="baseline"/>
                <w:lang w:val="en-US" w:eastAsia="zh-CN"/>
              </w:rPr>
            </w:pPr>
            <w:r>
              <w:rPr>
                <w:rFonts w:hint="eastAsia"/>
                <w:color w:val="auto"/>
                <w:highlight w:val="none"/>
                <w:vertAlign w:val="baseline"/>
                <w:lang w:val="en-US" w:eastAsia="zh-CN"/>
              </w:rPr>
              <w:t>混合调制牛肉饼</w:t>
            </w:r>
          </w:p>
        </w:tc>
        <w:tc>
          <w:tcPr>
            <w:tcW w:w="2605" w:type="dxa"/>
            <w:vAlign w:val="center"/>
          </w:tcPr>
          <w:p w14:paraId="75AC15B4">
            <w:pPr>
              <w:pStyle w:val="163"/>
              <w:numPr>
                <w:ilvl w:val="-1"/>
                <w:numId w:val="0"/>
              </w:numPr>
              <w:jc w:val="both"/>
              <w:rPr>
                <w:rFonts w:hint="default" w:eastAsia="宋体"/>
                <w:color w:val="auto"/>
                <w:highlight w:val="none"/>
                <w:vertAlign w:val="baseline"/>
                <w:lang w:val="en-US" w:eastAsia="zh-CN"/>
              </w:rPr>
            </w:pPr>
            <w:r>
              <w:rPr>
                <w:rFonts w:hint="eastAsia"/>
                <w:color w:val="0000FF"/>
                <w:highlight w:val="none"/>
                <w:vertAlign w:val="baseline"/>
                <w:lang w:val="en-US" w:eastAsia="zh-CN"/>
              </w:rPr>
              <w:t>鲜（冻）分割牛肉</w:t>
            </w:r>
            <w:r>
              <w:rPr>
                <w:rFonts w:hint="eastAsia"/>
                <w:color w:val="auto"/>
                <w:highlight w:val="none"/>
                <w:vertAlign w:val="baseline"/>
                <w:lang w:val="en-US" w:eastAsia="zh-CN"/>
              </w:rPr>
              <w:t xml:space="preserve"> </w:t>
            </w:r>
            <w:r>
              <w:rPr>
                <w:rFonts w:hint="eastAsia"/>
                <w:color w:val="auto"/>
                <w:highlight w:val="none"/>
              </w:rPr>
              <w:t xml:space="preserve">  </w:t>
            </w:r>
            <w:r>
              <w:rPr>
                <w:rFonts w:hint="eastAsia"/>
                <w:color w:val="auto"/>
                <w:highlight w:val="none"/>
                <w:lang w:val="en-US" w:eastAsia="zh-CN"/>
              </w:rPr>
              <w:t xml:space="preserve"> </w:t>
            </w:r>
            <w:r>
              <w:rPr>
                <w:rFonts w:hint="eastAsia"/>
                <w:color w:val="auto"/>
                <w:highlight w:val="none"/>
                <w:vertAlign w:val="baseline"/>
                <w:lang w:val="en-US" w:eastAsia="zh-CN"/>
              </w:rPr>
              <w:t>≥</w:t>
            </w:r>
          </w:p>
        </w:tc>
        <w:tc>
          <w:tcPr>
            <w:tcW w:w="3519" w:type="dxa"/>
            <w:vAlign w:val="center"/>
          </w:tcPr>
          <w:p w14:paraId="034F57BA">
            <w:pPr>
              <w:pStyle w:val="163"/>
              <w:numPr>
                <w:ilvl w:val="-1"/>
                <w:numId w:val="0"/>
              </w:numPr>
              <w:jc w:val="both"/>
              <w:rPr>
                <w:rFonts w:hint="default" w:eastAsia="宋体"/>
                <w:color w:val="auto"/>
                <w:highlight w:val="none"/>
                <w:vertAlign w:val="baseline"/>
                <w:lang w:val="en-US" w:eastAsia="zh-CN"/>
              </w:rPr>
            </w:pPr>
            <w:r>
              <w:rPr>
                <w:rFonts w:hint="eastAsia"/>
                <w:color w:val="auto"/>
                <w:highlight w:val="none"/>
                <w:vertAlign w:val="baseline"/>
                <w:lang w:val="en-US" w:eastAsia="zh-CN"/>
              </w:rPr>
              <w:t>60</w:t>
            </w:r>
          </w:p>
        </w:tc>
        <w:tc>
          <w:tcPr>
            <w:tcW w:w="1303" w:type="dxa"/>
            <w:vMerge w:val="continue"/>
            <w:vAlign w:val="center"/>
          </w:tcPr>
          <w:p w14:paraId="4D7052CF">
            <w:pPr>
              <w:pStyle w:val="163"/>
              <w:numPr>
                <w:ilvl w:val="-1"/>
                <w:numId w:val="0"/>
              </w:numPr>
              <w:jc w:val="both"/>
              <w:rPr>
                <w:rFonts w:hint="eastAsia"/>
                <w:color w:val="auto"/>
                <w:highlight w:val="none"/>
                <w:vertAlign w:val="baseline"/>
                <w:lang w:val="en-US" w:eastAsia="zh-CN"/>
              </w:rPr>
            </w:pPr>
          </w:p>
        </w:tc>
      </w:tr>
      <w:tr w14:paraId="6DE75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41" w:type="dxa"/>
            <w:vMerge w:val="continue"/>
            <w:vAlign w:val="center"/>
          </w:tcPr>
          <w:p w14:paraId="4D38FF2E">
            <w:pPr>
              <w:pStyle w:val="163"/>
              <w:numPr>
                <w:ilvl w:val="-1"/>
                <w:numId w:val="0"/>
              </w:numPr>
              <w:jc w:val="both"/>
              <w:rPr>
                <w:color w:val="auto"/>
                <w:highlight w:val="none"/>
                <w:vertAlign w:val="baseline"/>
              </w:rPr>
            </w:pPr>
          </w:p>
        </w:tc>
        <w:tc>
          <w:tcPr>
            <w:tcW w:w="2605" w:type="dxa"/>
            <w:vAlign w:val="center"/>
          </w:tcPr>
          <w:p w14:paraId="4D4B5A96">
            <w:pPr>
              <w:pStyle w:val="163"/>
              <w:numPr>
                <w:ilvl w:val="-1"/>
                <w:numId w:val="0"/>
              </w:numPr>
              <w:jc w:val="both"/>
              <w:rPr>
                <w:rFonts w:hint="default" w:eastAsia="宋体"/>
                <w:color w:val="auto"/>
                <w:highlight w:val="none"/>
                <w:vertAlign w:val="baseline"/>
                <w:lang w:val="en-US" w:eastAsia="zh-CN"/>
              </w:rPr>
            </w:pPr>
            <w:r>
              <w:rPr>
                <w:rFonts w:hint="eastAsia"/>
                <w:color w:val="auto"/>
                <w:highlight w:val="none"/>
                <w:vertAlign w:val="baseline"/>
                <w:lang w:val="en-US" w:eastAsia="zh-CN"/>
              </w:rPr>
              <w:t xml:space="preserve">非肉类蛋白 </w:t>
            </w:r>
            <w:r>
              <w:rPr>
                <w:rFonts w:hint="eastAsia"/>
                <w:color w:val="auto"/>
                <w:highlight w:val="none"/>
              </w:rPr>
              <w:t xml:space="preserve"> </w:t>
            </w:r>
            <w:r>
              <w:rPr>
                <w:rFonts w:hint="eastAsia"/>
                <w:color w:val="auto"/>
                <w:highlight w:val="none"/>
                <w:lang w:val="en-US" w:eastAsia="zh-CN"/>
              </w:rPr>
              <w:t xml:space="preserve">    </w:t>
            </w:r>
            <w:r>
              <w:rPr>
                <w:rFonts w:hint="eastAsia"/>
                <w:color w:val="auto"/>
                <w:highlight w:val="none"/>
              </w:rPr>
              <w:t xml:space="preserve">    </w:t>
            </w:r>
            <w:r>
              <w:rPr>
                <w:rFonts w:hint="eastAsia"/>
                <w:color w:val="auto"/>
                <w:highlight w:val="none"/>
                <w:vertAlign w:val="baseline"/>
                <w:lang w:val="en-US" w:eastAsia="zh-CN"/>
              </w:rPr>
              <w:t>≤</w:t>
            </w:r>
          </w:p>
        </w:tc>
        <w:tc>
          <w:tcPr>
            <w:tcW w:w="3519" w:type="dxa"/>
            <w:vAlign w:val="center"/>
          </w:tcPr>
          <w:p w14:paraId="2ED7E9FC">
            <w:pPr>
              <w:pStyle w:val="163"/>
              <w:numPr>
                <w:ilvl w:val="-1"/>
                <w:numId w:val="0"/>
              </w:numPr>
              <w:jc w:val="both"/>
              <w:rPr>
                <w:rFonts w:hint="default" w:eastAsia="宋体"/>
                <w:color w:val="auto"/>
                <w:highlight w:val="none"/>
                <w:vertAlign w:val="baseline"/>
                <w:lang w:val="en-US" w:eastAsia="zh-CN"/>
              </w:rPr>
            </w:pPr>
            <w:r>
              <w:rPr>
                <w:rFonts w:hint="eastAsia"/>
                <w:color w:val="auto"/>
                <w:highlight w:val="none"/>
                <w:vertAlign w:val="baseline"/>
                <w:lang w:val="en-US" w:eastAsia="zh-CN"/>
              </w:rPr>
              <w:t>7</w:t>
            </w:r>
          </w:p>
        </w:tc>
        <w:tc>
          <w:tcPr>
            <w:tcW w:w="1303" w:type="dxa"/>
            <w:vMerge w:val="continue"/>
            <w:vAlign w:val="center"/>
          </w:tcPr>
          <w:p w14:paraId="23D64873">
            <w:pPr>
              <w:pStyle w:val="163"/>
              <w:numPr>
                <w:ilvl w:val="-1"/>
                <w:numId w:val="0"/>
              </w:numPr>
              <w:jc w:val="both"/>
              <w:rPr>
                <w:rFonts w:hint="eastAsia"/>
                <w:color w:val="auto"/>
                <w:highlight w:val="none"/>
                <w:vertAlign w:val="baseline"/>
                <w:lang w:val="en-US" w:eastAsia="zh-CN"/>
              </w:rPr>
            </w:pPr>
          </w:p>
        </w:tc>
      </w:tr>
      <w:tr w14:paraId="4578E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141" w:type="dxa"/>
            <w:vMerge w:val="continue"/>
            <w:vAlign w:val="center"/>
          </w:tcPr>
          <w:p w14:paraId="213BDC31">
            <w:pPr>
              <w:pStyle w:val="163"/>
              <w:numPr>
                <w:ilvl w:val="-1"/>
                <w:numId w:val="0"/>
              </w:numPr>
              <w:jc w:val="both"/>
              <w:rPr>
                <w:color w:val="auto"/>
                <w:highlight w:val="none"/>
                <w:vertAlign w:val="baseline"/>
              </w:rPr>
            </w:pPr>
          </w:p>
        </w:tc>
        <w:tc>
          <w:tcPr>
            <w:tcW w:w="2605" w:type="dxa"/>
            <w:vAlign w:val="center"/>
          </w:tcPr>
          <w:p w14:paraId="5598B029">
            <w:pPr>
              <w:pStyle w:val="163"/>
              <w:numPr>
                <w:ilvl w:val="-1"/>
                <w:numId w:val="0"/>
              </w:numPr>
              <w:jc w:val="both"/>
              <w:rPr>
                <w:rFonts w:hint="default"/>
                <w:color w:val="auto"/>
                <w:highlight w:val="none"/>
                <w:vertAlign w:val="baseline"/>
                <w:lang w:val="en-US" w:eastAsia="zh-CN"/>
              </w:rPr>
            </w:pPr>
            <w:r>
              <w:rPr>
                <w:rFonts w:hint="eastAsia"/>
                <w:color w:val="auto"/>
                <w:highlight w:val="none"/>
                <w:vertAlign w:val="baseline"/>
                <w:lang w:val="en-US" w:eastAsia="zh-CN"/>
              </w:rPr>
              <w:t>淀粉</w:t>
            </w:r>
            <w:r>
              <w:rPr>
                <w:rFonts w:hint="eastAsia"/>
                <w:color w:val="auto"/>
                <w:highlight w:val="none"/>
              </w:rPr>
              <w:t xml:space="preserve">         </w:t>
            </w:r>
            <w:r>
              <w:rPr>
                <w:rFonts w:hint="eastAsia"/>
                <w:color w:val="auto"/>
                <w:highlight w:val="none"/>
                <w:lang w:val="en-US" w:eastAsia="zh-CN"/>
              </w:rPr>
              <w:t xml:space="preserve">       </w:t>
            </w:r>
            <w:r>
              <w:rPr>
                <w:rFonts w:hint="eastAsia"/>
                <w:color w:val="auto"/>
                <w:highlight w:val="none"/>
                <w:vertAlign w:val="baseline"/>
                <w:lang w:val="en-US" w:eastAsia="zh-CN"/>
              </w:rPr>
              <w:t>≤</w:t>
            </w:r>
          </w:p>
        </w:tc>
        <w:tc>
          <w:tcPr>
            <w:tcW w:w="3519" w:type="dxa"/>
            <w:vAlign w:val="center"/>
          </w:tcPr>
          <w:p w14:paraId="20141C1A">
            <w:pPr>
              <w:pStyle w:val="163"/>
              <w:numPr>
                <w:ilvl w:val="-1"/>
                <w:numId w:val="0"/>
              </w:numPr>
              <w:jc w:val="both"/>
              <w:rPr>
                <w:rFonts w:hint="default"/>
                <w:color w:val="auto"/>
                <w:highlight w:val="none"/>
                <w:vertAlign w:val="baseline"/>
                <w:lang w:val="en-US" w:eastAsia="zh-CN"/>
              </w:rPr>
            </w:pPr>
            <w:r>
              <w:rPr>
                <w:rFonts w:hint="eastAsia"/>
                <w:color w:val="auto"/>
                <w:highlight w:val="none"/>
                <w:vertAlign w:val="baseline"/>
                <w:lang w:val="en-US" w:eastAsia="zh-CN"/>
              </w:rPr>
              <w:t>3</w:t>
            </w:r>
          </w:p>
        </w:tc>
        <w:tc>
          <w:tcPr>
            <w:tcW w:w="1303" w:type="dxa"/>
            <w:vMerge w:val="continue"/>
            <w:vAlign w:val="center"/>
          </w:tcPr>
          <w:p w14:paraId="51F17108">
            <w:pPr>
              <w:pStyle w:val="163"/>
              <w:numPr>
                <w:ilvl w:val="-1"/>
                <w:numId w:val="0"/>
              </w:numPr>
              <w:jc w:val="both"/>
              <w:rPr>
                <w:rFonts w:hint="eastAsia"/>
                <w:color w:val="auto"/>
                <w:highlight w:val="none"/>
                <w:vertAlign w:val="baseline"/>
                <w:lang w:val="en-US" w:eastAsia="zh-CN"/>
              </w:rPr>
            </w:pPr>
          </w:p>
        </w:tc>
      </w:tr>
      <w:tr w14:paraId="7A275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41" w:type="dxa"/>
            <w:vMerge w:val="continue"/>
            <w:vAlign w:val="center"/>
          </w:tcPr>
          <w:p w14:paraId="41F149A8">
            <w:pPr>
              <w:pStyle w:val="163"/>
              <w:numPr>
                <w:ilvl w:val="-1"/>
                <w:numId w:val="0"/>
              </w:numPr>
              <w:jc w:val="both"/>
              <w:rPr>
                <w:color w:val="auto"/>
                <w:highlight w:val="none"/>
                <w:vertAlign w:val="baseline"/>
              </w:rPr>
            </w:pPr>
          </w:p>
        </w:tc>
        <w:tc>
          <w:tcPr>
            <w:tcW w:w="2605" w:type="dxa"/>
            <w:vAlign w:val="center"/>
          </w:tcPr>
          <w:p w14:paraId="17DCD7AF">
            <w:pPr>
              <w:pStyle w:val="163"/>
              <w:numPr>
                <w:ilvl w:val="-1"/>
                <w:numId w:val="0"/>
              </w:numPr>
              <w:jc w:val="both"/>
              <w:rPr>
                <w:rFonts w:hint="eastAsia"/>
                <w:color w:val="auto"/>
                <w:highlight w:val="none"/>
                <w:vertAlign w:val="baseline"/>
                <w:lang w:val="en-US" w:eastAsia="zh-CN"/>
              </w:rPr>
            </w:pPr>
            <w:r>
              <w:rPr>
                <w:rFonts w:hint="eastAsia"/>
                <w:color w:val="auto"/>
                <w:highlight w:val="none"/>
                <w:vertAlign w:val="baseline"/>
                <w:lang w:val="en-US" w:eastAsia="zh-CN"/>
              </w:rPr>
              <w:t>其他原辅料</w:t>
            </w:r>
            <w:r>
              <w:rPr>
                <w:rFonts w:hint="eastAsia"/>
                <w:color w:val="auto"/>
                <w:highlight w:val="none"/>
              </w:rPr>
              <w:t xml:space="preserve">   </w:t>
            </w:r>
            <w:r>
              <w:rPr>
                <w:rFonts w:hint="eastAsia"/>
                <w:color w:val="auto"/>
                <w:highlight w:val="none"/>
                <w:lang w:val="en-US" w:eastAsia="zh-CN"/>
              </w:rPr>
              <w:t xml:space="preserve">       </w:t>
            </w:r>
            <w:r>
              <w:rPr>
                <w:rFonts w:hint="eastAsia"/>
                <w:color w:val="auto"/>
                <w:highlight w:val="none"/>
                <w:vertAlign w:val="baseline"/>
                <w:lang w:val="en-US" w:eastAsia="zh-CN"/>
              </w:rPr>
              <w:t>≤</w:t>
            </w:r>
          </w:p>
        </w:tc>
        <w:tc>
          <w:tcPr>
            <w:tcW w:w="3519" w:type="dxa"/>
            <w:vAlign w:val="center"/>
          </w:tcPr>
          <w:p w14:paraId="437CAA84">
            <w:pPr>
              <w:pStyle w:val="163"/>
              <w:numPr>
                <w:ilvl w:val="-1"/>
                <w:numId w:val="0"/>
              </w:numPr>
              <w:jc w:val="both"/>
              <w:rPr>
                <w:rFonts w:hint="default"/>
                <w:color w:val="auto"/>
                <w:highlight w:val="none"/>
                <w:vertAlign w:val="baseline"/>
                <w:lang w:val="en-US" w:eastAsia="zh-CN"/>
              </w:rPr>
            </w:pPr>
            <w:r>
              <w:rPr>
                <w:rFonts w:hint="eastAsia"/>
                <w:color w:val="0000FF"/>
                <w:highlight w:val="none"/>
                <w:vertAlign w:val="baseline"/>
                <w:lang w:val="en-US" w:eastAsia="zh-CN"/>
              </w:rPr>
              <w:t>40</w:t>
            </w:r>
          </w:p>
        </w:tc>
        <w:tc>
          <w:tcPr>
            <w:tcW w:w="1303" w:type="dxa"/>
            <w:vMerge w:val="continue"/>
            <w:vAlign w:val="center"/>
          </w:tcPr>
          <w:p w14:paraId="42184067">
            <w:pPr>
              <w:pStyle w:val="163"/>
              <w:numPr>
                <w:ilvl w:val="-1"/>
                <w:numId w:val="0"/>
              </w:numPr>
              <w:jc w:val="both"/>
              <w:rPr>
                <w:rFonts w:hint="eastAsia"/>
                <w:color w:val="auto"/>
                <w:highlight w:val="none"/>
                <w:vertAlign w:val="baseline"/>
                <w:lang w:val="en-US" w:eastAsia="zh-CN"/>
              </w:rPr>
            </w:pPr>
          </w:p>
        </w:tc>
      </w:tr>
    </w:tbl>
    <w:p w14:paraId="59396AB5">
      <w:pPr>
        <w:pStyle w:val="163"/>
        <w:numPr>
          <w:ilvl w:val="-1"/>
          <w:numId w:val="0"/>
        </w:numPr>
        <w:rPr>
          <w:highlight w:val="none"/>
        </w:rPr>
      </w:pPr>
    </w:p>
    <w:p w14:paraId="42D59902">
      <w:pPr>
        <w:pStyle w:val="105"/>
      </w:pPr>
      <w:r>
        <w:rPr>
          <w:rFonts w:hint="eastAsia"/>
        </w:rPr>
        <w:t>技术指标</w:t>
      </w:r>
    </w:p>
    <w:p w14:paraId="13C13760">
      <w:pPr>
        <w:pStyle w:val="106"/>
      </w:pPr>
      <w:r>
        <w:t>感官要求</w:t>
      </w:r>
    </w:p>
    <w:p w14:paraId="25417E5A">
      <w:pPr>
        <w:pStyle w:val="165"/>
        <w:ind w:firstLine="420" w:firstLineChars="200"/>
      </w:pPr>
      <w:r>
        <w:t xml:space="preserve">应符合表 </w:t>
      </w:r>
      <w:r>
        <w:rPr>
          <w:rFonts w:hint="eastAsia"/>
          <w:lang w:val="en-US" w:eastAsia="zh-CN"/>
        </w:rPr>
        <w:t>2</w:t>
      </w:r>
      <w:r>
        <w:t xml:space="preserve"> 的规定。</w:t>
      </w:r>
    </w:p>
    <w:p w14:paraId="3C2AA794">
      <w:pPr>
        <w:spacing w:line="240" w:lineRule="auto"/>
        <w:jc w:val="center"/>
        <w:rPr>
          <w:rFonts w:hint="eastAsia" w:hAnsi="宋体" w:cs="宋体"/>
          <w:spacing w:val="-8"/>
        </w:rPr>
      </w:pPr>
      <w:r>
        <w:rPr>
          <w:rFonts w:hint="eastAsia" w:hAnsi="宋体" w:cs="宋体"/>
          <w:spacing w:val="-8"/>
        </w:rPr>
        <w:t>表</w:t>
      </w:r>
      <w:r>
        <w:rPr>
          <w:rFonts w:hint="eastAsia" w:hAnsi="宋体" w:cs="宋体"/>
          <w:spacing w:val="-8"/>
          <w:lang w:val="en-US" w:eastAsia="zh-CN"/>
        </w:rPr>
        <w:t>2</w:t>
      </w:r>
      <w:r>
        <w:rPr>
          <w:rFonts w:hint="eastAsia" w:hAnsi="宋体" w:cs="宋体"/>
          <w:spacing w:val="-8"/>
        </w:rPr>
        <w:t xml:space="preserve"> 感官要求</w:t>
      </w:r>
    </w:p>
    <w:tbl>
      <w:tblPr>
        <w:tblStyle w:val="28"/>
        <w:tblpPr w:leftFromText="180" w:rightFromText="180" w:vertAnchor="text" w:horzAnchor="page" w:tblpX="1414" w:tblpY="24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3"/>
        <w:gridCol w:w="4800"/>
        <w:gridCol w:w="3115"/>
      </w:tblGrid>
      <w:tr w14:paraId="2EFC4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423" w:type="dxa"/>
            <w:shd w:val="clear" w:color="auto" w:fill="auto"/>
            <w:vAlign w:val="center"/>
          </w:tcPr>
          <w:p w14:paraId="2DD7B338">
            <w:pPr>
              <w:pStyle w:val="165"/>
              <w:keepNext w:val="0"/>
              <w:keepLines w:val="0"/>
              <w:pageBreakBefore w:val="0"/>
              <w:widowControl/>
              <w:kinsoku/>
              <w:wordWrap/>
              <w:overflowPunct/>
              <w:topLinePunct w:val="0"/>
              <w:autoSpaceDE/>
              <w:autoSpaceDN/>
              <w:bidi w:val="0"/>
              <w:snapToGrid/>
              <w:spacing w:before="0" w:beforeLines="0" w:after="0" w:afterLines="0" w:line="240" w:lineRule="auto"/>
              <w:jc w:val="center"/>
              <w:textAlignment w:val="auto"/>
            </w:pPr>
            <w:r>
              <w:rPr>
                <w:rFonts w:hint="eastAsia"/>
              </w:rPr>
              <w:t>项目</w:t>
            </w:r>
          </w:p>
        </w:tc>
        <w:tc>
          <w:tcPr>
            <w:tcW w:w="4800" w:type="dxa"/>
            <w:shd w:val="clear" w:color="auto" w:fill="auto"/>
            <w:vAlign w:val="center"/>
          </w:tcPr>
          <w:p w14:paraId="473FA20E">
            <w:pPr>
              <w:pStyle w:val="165"/>
              <w:keepNext w:val="0"/>
              <w:keepLines w:val="0"/>
              <w:pageBreakBefore w:val="0"/>
              <w:widowControl/>
              <w:kinsoku/>
              <w:wordWrap/>
              <w:overflowPunct/>
              <w:topLinePunct w:val="0"/>
              <w:autoSpaceDE/>
              <w:autoSpaceDN/>
              <w:bidi w:val="0"/>
              <w:snapToGrid/>
              <w:spacing w:before="0" w:beforeLines="0" w:after="0" w:afterLines="0" w:line="240" w:lineRule="auto"/>
              <w:jc w:val="center"/>
              <w:textAlignment w:val="auto"/>
            </w:pPr>
            <w:r>
              <w:rPr>
                <w:rFonts w:hint="eastAsia"/>
              </w:rPr>
              <w:t>要求</w:t>
            </w:r>
          </w:p>
        </w:tc>
        <w:tc>
          <w:tcPr>
            <w:tcW w:w="3115" w:type="dxa"/>
            <w:shd w:val="clear" w:color="auto" w:fill="auto"/>
            <w:vAlign w:val="center"/>
          </w:tcPr>
          <w:p w14:paraId="738951E6">
            <w:pPr>
              <w:pStyle w:val="165"/>
              <w:keepNext w:val="0"/>
              <w:keepLines w:val="0"/>
              <w:pageBreakBefore w:val="0"/>
              <w:widowControl/>
              <w:kinsoku/>
              <w:wordWrap/>
              <w:overflowPunct/>
              <w:topLinePunct w:val="0"/>
              <w:autoSpaceDE/>
              <w:autoSpaceDN/>
              <w:bidi w:val="0"/>
              <w:snapToGrid/>
              <w:spacing w:before="0" w:beforeLines="0" w:after="0" w:afterLines="0" w:line="240" w:lineRule="auto"/>
              <w:jc w:val="center"/>
              <w:textAlignment w:val="auto"/>
            </w:pPr>
            <w:r>
              <w:rPr>
                <w:rFonts w:hint="eastAsia"/>
              </w:rPr>
              <w:t>检验方法</w:t>
            </w:r>
          </w:p>
        </w:tc>
      </w:tr>
      <w:tr w14:paraId="4B87B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423" w:type="dxa"/>
            <w:shd w:val="clear" w:color="auto" w:fill="auto"/>
            <w:vAlign w:val="center"/>
          </w:tcPr>
          <w:p w14:paraId="279CA48F">
            <w:pPr>
              <w:pStyle w:val="165"/>
              <w:keepNext w:val="0"/>
              <w:keepLines w:val="0"/>
              <w:pageBreakBefore w:val="0"/>
              <w:widowControl/>
              <w:kinsoku/>
              <w:wordWrap/>
              <w:overflowPunct/>
              <w:topLinePunct w:val="0"/>
              <w:autoSpaceDE/>
              <w:autoSpaceDN/>
              <w:bidi w:val="0"/>
              <w:snapToGrid w:val="0"/>
              <w:spacing w:before="0" w:beforeLines="0" w:after="0" w:afterLines="0" w:line="240" w:lineRule="auto"/>
              <w:jc w:val="both"/>
              <w:textAlignment w:val="auto"/>
            </w:pPr>
            <w:r>
              <w:rPr>
                <w:rFonts w:hint="eastAsia"/>
              </w:rPr>
              <w:t>组织形态</w:t>
            </w:r>
          </w:p>
        </w:tc>
        <w:tc>
          <w:tcPr>
            <w:tcW w:w="4800" w:type="dxa"/>
            <w:shd w:val="clear" w:color="auto" w:fill="auto"/>
            <w:vAlign w:val="center"/>
          </w:tcPr>
          <w:p w14:paraId="5D3E2B17">
            <w:pPr>
              <w:keepNext w:val="0"/>
              <w:keepLines w:val="0"/>
              <w:pageBreakBefore w:val="0"/>
              <w:widowControl/>
              <w:kinsoku/>
              <w:wordWrap/>
              <w:overflowPunct/>
              <w:topLinePunct w:val="0"/>
              <w:autoSpaceDE/>
              <w:autoSpaceDN/>
              <w:bidi w:val="0"/>
              <w:snapToGrid w:val="0"/>
              <w:spacing w:line="240" w:lineRule="auto"/>
              <w:jc w:val="both"/>
              <w:textAlignment w:val="auto"/>
              <w:rPr>
                <w:rFonts w:ascii="宋体" w:hAnsi="宋体" w:cs="sans-serif"/>
                <w:color w:val="auto"/>
              </w:rPr>
            </w:pPr>
            <w:r>
              <w:rPr>
                <w:rFonts w:ascii="宋体" w:hAnsi="宋体" w:cs="sans-serif"/>
                <w:color w:val="auto"/>
                <w:kern w:val="0"/>
                <w:shd w:val="clear" w:color="auto" w:fill="FFFFFF"/>
                <w:lang w:bidi="ar"/>
              </w:rPr>
              <w:t>具有该产品应有的形状，无破损，</w:t>
            </w:r>
            <w:r>
              <w:rPr>
                <w:rFonts w:hint="eastAsia" w:ascii="宋体" w:hAnsi="宋体" w:cs="宋体"/>
                <w:color w:val="auto"/>
                <w:kern w:val="0"/>
                <w:shd w:val="clear" w:color="auto" w:fill="FFFFFF"/>
                <w:lang w:bidi="ar"/>
              </w:rPr>
              <w:t>不松散，</w:t>
            </w:r>
            <w:r>
              <w:rPr>
                <w:rFonts w:ascii="宋体" w:hAnsi="宋体" w:cs="sans-serif"/>
                <w:color w:val="auto"/>
                <w:kern w:val="0"/>
                <w:shd w:val="clear" w:color="auto" w:fill="FFFFFF"/>
                <w:lang w:bidi="ar"/>
              </w:rPr>
              <w:t>不变形</w:t>
            </w:r>
          </w:p>
        </w:tc>
        <w:tc>
          <w:tcPr>
            <w:tcW w:w="3115" w:type="dxa"/>
            <w:vMerge w:val="restart"/>
            <w:shd w:val="clear" w:color="auto" w:fill="auto"/>
            <w:vAlign w:val="center"/>
          </w:tcPr>
          <w:p w14:paraId="4D01D36E">
            <w:pPr>
              <w:keepNext w:val="0"/>
              <w:keepLines w:val="0"/>
              <w:pageBreakBefore w:val="0"/>
              <w:widowControl/>
              <w:kinsoku/>
              <w:wordWrap/>
              <w:overflowPunct/>
              <w:topLinePunct w:val="0"/>
              <w:autoSpaceDE/>
              <w:autoSpaceDN/>
              <w:bidi w:val="0"/>
              <w:snapToGrid/>
              <w:spacing w:line="240" w:lineRule="auto"/>
              <w:jc w:val="both"/>
              <w:textAlignment w:val="auto"/>
              <w:rPr>
                <w:color w:val="auto"/>
              </w:rPr>
            </w:pPr>
            <w:r>
              <w:rPr>
                <w:rFonts w:hint="eastAsia" w:ascii="宋体" w:hAnsi="宋体" w:cs="sans-serif"/>
                <w:color w:val="auto"/>
                <w:kern w:val="0"/>
                <w:shd w:val="clear" w:color="auto" w:fill="FFFFFF"/>
                <w:lang w:bidi="ar"/>
              </w:rPr>
              <w:t>样品恢复至室温，</w:t>
            </w:r>
            <w:r>
              <w:rPr>
                <w:rFonts w:ascii="宋体" w:hAnsi="宋体" w:cs="sans-serif"/>
                <w:color w:val="auto"/>
                <w:kern w:val="0"/>
                <w:shd w:val="clear" w:color="auto" w:fill="FFFFFF"/>
                <w:lang w:bidi="ar"/>
              </w:rPr>
              <w:t>取适量</w:t>
            </w:r>
            <w:r>
              <w:rPr>
                <w:rFonts w:hint="eastAsia" w:ascii="宋体" w:hAnsi="宋体" w:cs="sans-serif"/>
                <w:color w:val="auto"/>
                <w:kern w:val="0"/>
                <w:shd w:val="clear" w:color="auto" w:fill="FFFFFF"/>
                <w:lang w:val="en-US" w:eastAsia="zh-CN" w:bidi="ar"/>
              </w:rPr>
              <w:t>样品</w:t>
            </w:r>
            <w:r>
              <w:rPr>
                <w:rFonts w:ascii="宋体" w:hAnsi="宋体" w:cs="sans-serif"/>
                <w:color w:val="auto"/>
                <w:kern w:val="0"/>
                <w:shd w:val="clear" w:color="auto" w:fill="FFFFFF"/>
                <w:lang w:bidi="ar"/>
              </w:rPr>
              <w:t>置于洁净的白色盘</w:t>
            </w:r>
            <w:r>
              <w:rPr>
                <w:rFonts w:ascii="宋体" w:hAnsi="宋体" w:cs="monospace"/>
                <w:color w:val="auto"/>
                <w:kern w:val="0"/>
                <w:shd w:val="clear" w:color="auto" w:fill="FFFFFF"/>
                <w:lang w:bidi="ar"/>
              </w:rPr>
              <w:t>(</w:t>
            </w:r>
            <w:r>
              <w:rPr>
                <w:rFonts w:ascii="宋体" w:hAnsi="宋体" w:cs="sans-serif"/>
                <w:color w:val="auto"/>
                <w:kern w:val="0"/>
                <w:shd w:val="clear" w:color="auto" w:fill="FFFFFF"/>
                <w:lang w:bidi="ar"/>
              </w:rPr>
              <w:t>瓷盘或同类容器</w:t>
            </w:r>
            <w:r>
              <w:rPr>
                <w:rFonts w:ascii="宋体" w:hAnsi="宋体" w:cs="monospace"/>
                <w:color w:val="auto"/>
                <w:kern w:val="0"/>
                <w:shd w:val="clear" w:color="auto" w:fill="FFFFFF"/>
                <w:lang w:bidi="ar"/>
              </w:rPr>
              <w:t>)</w:t>
            </w:r>
            <w:r>
              <w:rPr>
                <w:rFonts w:ascii="宋体" w:hAnsi="宋体" w:cs="sans-serif"/>
                <w:color w:val="auto"/>
                <w:kern w:val="0"/>
                <w:shd w:val="clear" w:color="auto" w:fill="FFFFFF"/>
                <w:lang w:bidi="ar"/>
              </w:rPr>
              <w:t>中，</w:t>
            </w:r>
            <w:r>
              <w:rPr>
                <w:rFonts w:hint="eastAsia" w:ascii="宋体" w:hAnsi="宋体" w:cs="sans-serif"/>
                <w:color w:val="auto"/>
                <w:kern w:val="0"/>
                <w:shd w:val="clear" w:color="auto" w:fill="FFFFFF"/>
                <w:lang w:bidi="ar"/>
              </w:rPr>
              <w:t>由正常视力</w:t>
            </w:r>
            <w:r>
              <w:rPr>
                <w:rFonts w:ascii="宋体" w:hAnsi="宋体" w:cs="sans-serif"/>
                <w:color w:val="auto"/>
                <w:kern w:val="0"/>
                <w:shd w:val="clear" w:color="auto" w:fill="FFFFFF"/>
                <w:lang w:bidi="ar"/>
              </w:rPr>
              <w:t>在自然光</w:t>
            </w:r>
            <w:r>
              <w:rPr>
                <w:rFonts w:hint="eastAsia" w:ascii="宋体" w:hAnsi="宋体" w:cs="sans-serif"/>
                <w:color w:val="auto"/>
                <w:kern w:val="0"/>
                <w:shd w:val="clear" w:color="auto" w:fill="FFFFFF"/>
                <w:lang w:val="en-US" w:eastAsia="zh-CN" w:bidi="ar"/>
              </w:rPr>
              <w:t>照</w:t>
            </w:r>
            <w:r>
              <w:rPr>
                <w:rFonts w:ascii="宋体" w:hAnsi="宋体" w:cs="sans-serif"/>
                <w:color w:val="auto"/>
                <w:kern w:val="0"/>
                <w:shd w:val="clear" w:color="auto" w:fill="FFFFFF"/>
                <w:lang w:bidi="ar"/>
              </w:rPr>
              <w:t>下观察色泽和</w:t>
            </w:r>
            <w:r>
              <w:rPr>
                <w:rFonts w:hint="eastAsia" w:ascii="宋体" w:hAnsi="宋体" w:cs="sans-serif"/>
                <w:color w:val="auto"/>
                <w:kern w:val="0"/>
                <w:shd w:val="clear" w:color="auto" w:fill="FFFFFF"/>
                <w:lang w:bidi="ar"/>
              </w:rPr>
              <w:t>组织形态、杂质</w:t>
            </w:r>
            <w:r>
              <w:rPr>
                <w:rFonts w:ascii="宋体" w:hAnsi="宋体" w:cs="sans-serif"/>
                <w:color w:val="auto"/>
                <w:kern w:val="0"/>
                <w:shd w:val="clear" w:color="auto" w:fill="FFFFFF"/>
                <w:lang w:bidi="ar"/>
              </w:rPr>
              <w:t>，闻其气味</w:t>
            </w:r>
            <w:r>
              <w:rPr>
                <w:rFonts w:hint="eastAsia" w:ascii="宋体" w:hAnsi="宋体" w:cs="sans-serif"/>
                <w:color w:val="auto"/>
                <w:kern w:val="0"/>
                <w:shd w:val="clear" w:color="auto" w:fill="FFFFFF"/>
                <w:lang w:bidi="ar"/>
              </w:rPr>
              <w:t>，按包装上标示的方法熟制后品其滋味。</w:t>
            </w:r>
          </w:p>
        </w:tc>
      </w:tr>
      <w:tr w14:paraId="7B644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423" w:type="dxa"/>
            <w:shd w:val="clear" w:color="auto" w:fill="auto"/>
            <w:vAlign w:val="center"/>
          </w:tcPr>
          <w:p w14:paraId="03B62BBB">
            <w:pPr>
              <w:pStyle w:val="165"/>
              <w:keepNext w:val="0"/>
              <w:keepLines w:val="0"/>
              <w:pageBreakBefore w:val="0"/>
              <w:widowControl/>
              <w:kinsoku/>
              <w:wordWrap/>
              <w:overflowPunct/>
              <w:topLinePunct w:val="0"/>
              <w:autoSpaceDE/>
              <w:autoSpaceDN/>
              <w:bidi w:val="0"/>
              <w:snapToGrid w:val="0"/>
              <w:spacing w:before="0" w:beforeLines="0" w:after="0" w:afterLines="0" w:line="240" w:lineRule="auto"/>
              <w:jc w:val="both"/>
              <w:textAlignment w:val="auto"/>
            </w:pPr>
            <w:r>
              <w:rPr>
                <w:shd w:val="clear" w:color="auto" w:fill="FFFFFF"/>
              </w:rPr>
              <w:t>色泽</w:t>
            </w:r>
          </w:p>
        </w:tc>
        <w:tc>
          <w:tcPr>
            <w:tcW w:w="4800" w:type="dxa"/>
            <w:shd w:val="clear" w:color="auto" w:fill="auto"/>
            <w:vAlign w:val="center"/>
          </w:tcPr>
          <w:p w14:paraId="0271326A">
            <w:pPr>
              <w:pStyle w:val="165"/>
              <w:keepNext w:val="0"/>
              <w:keepLines w:val="0"/>
              <w:pageBreakBefore w:val="0"/>
              <w:widowControl/>
              <w:kinsoku/>
              <w:wordWrap/>
              <w:overflowPunct/>
              <w:topLinePunct w:val="0"/>
              <w:autoSpaceDE/>
              <w:autoSpaceDN/>
              <w:bidi w:val="0"/>
              <w:snapToGrid w:val="0"/>
              <w:spacing w:before="0" w:beforeLines="0" w:after="0" w:afterLines="0" w:line="240" w:lineRule="auto"/>
              <w:jc w:val="both"/>
              <w:textAlignment w:val="auto"/>
              <w:rPr>
                <w:color w:val="auto"/>
              </w:rPr>
            </w:pPr>
            <w:r>
              <w:rPr>
                <w:color w:val="auto"/>
                <w:shd w:val="clear" w:color="auto" w:fill="FFFFFF"/>
              </w:rPr>
              <w:t>色泽均匀，具有该产品应有的色泽</w:t>
            </w:r>
          </w:p>
        </w:tc>
        <w:tc>
          <w:tcPr>
            <w:tcW w:w="3115" w:type="dxa"/>
            <w:vMerge w:val="continue"/>
            <w:shd w:val="clear" w:color="auto" w:fill="auto"/>
            <w:vAlign w:val="center"/>
          </w:tcPr>
          <w:p w14:paraId="6360BC42">
            <w:pPr>
              <w:pStyle w:val="165"/>
              <w:keepNext w:val="0"/>
              <w:keepLines w:val="0"/>
              <w:pageBreakBefore w:val="0"/>
              <w:widowControl/>
              <w:kinsoku/>
              <w:wordWrap/>
              <w:overflowPunct/>
              <w:topLinePunct w:val="0"/>
              <w:autoSpaceDE/>
              <w:autoSpaceDN/>
              <w:bidi w:val="0"/>
              <w:snapToGrid/>
              <w:spacing w:before="0" w:beforeLines="0" w:after="0" w:afterLines="0" w:line="240" w:lineRule="auto"/>
              <w:jc w:val="both"/>
              <w:textAlignment w:val="auto"/>
              <w:rPr>
                <w:color w:val="auto"/>
              </w:rPr>
            </w:pPr>
          </w:p>
        </w:tc>
      </w:tr>
      <w:tr w14:paraId="61CAB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9" w:hRule="atLeast"/>
        </w:trPr>
        <w:tc>
          <w:tcPr>
            <w:tcW w:w="1423" w:type="dxa"/>
            <w:shd w:val="clear" w:color="auto" w:fill="auto"/>
            <w:vAlign w:val="center"/>
          </w:tcPr>
          <w:p w14:paraId="78FF3EBD">
            <w:pPr>
              <w:pStyle w:val="165"/>
              <w:keepNext w:val="0"/>
              <w:keepLines w:val="0"/>
              <w:pageBreakBefore w:val="0"/>
              <w:widowControl/>
              <w:kinsoku/>
              <w:wordWrap/>
              <w:overflowPunct/>
              <w:topLinePunct w:val="0"/>
              <w:autoSpaceDE/>
              <w:autoSpaceDN/>
              <w:bidi w:val="0"/>
              <w:snapToGrid w:val="0"/>
              <w:spacing w:before="0" w:beforeLines="0" w:after="0" w:afterLines="0" w:line="240" w:lineRule="auto"/>
              <w:jc w:val="both"/>
              <w:textAlignment w:val="auto"/>
            </w:pPr>
            <w:r>
              <w:rPr>
                <w:shd w:val="clear" w:color="auto" w:fill="FFFFFF"/>
              </w:rPr>
              <w:t>滋味</w:t>
            </w:r>
            <w:r>
              <w:rPr>
                <w:rFonts w:hint="eastAsia"/>
                <w:shd w:val="clear" w:color="auto" w:fill="FFFFFF"/>
                <w:lang w:eastAsia="zh-CN"/>
              </w:rPr>
              <w:t>、</w:t>
            </w:r>
            <w:r>
              <w:rPr>
                <w:shd w:val="clear" w:color="auto" w:fill="FFFFFF"/>
              </w:rPr>
              <w:t>气味</w:t>
            </w:r>
          </w:p>
        </w:tc>
        <w:tc>
          <w:tcPr>
            <w:tcW w:w="4800" w:type="dxa"/>
            <w:shd w:val="clear" w:color="auto" w:fill="auto"/>
            <w:vAlign w:val="center"/>
          </w:tcPr>
          <w:p w14:paraId="719AAC5D">
            <w:pPr>
              <w:keepNext w:val="0"/>
              <w:keepLines w:val="0"/>
              <w:pageBreakBefore w:val="0"/>
              <w:widowControl/>
              <w:kinsoku/>
              <w:wordWrap/>
              <w:overflowPunct/>
              <w:topLinePunct w:val="0"/>
              <w:autoSpaceDE/>
              <w:autoSpaceDN/>
              <w:bidi w:val="0"/>
              <w:snapToGrid w:val="0"/>
              <w:spacing w:line="240" w:lineRule="auto"/>
              <w:jc w:val="both"/>
              <w:textAlignment w:val="auto"/>
              <w:rPr>
                <w:rFonts w:ascii="宋体" w:hAnsi="宋体" w:cs="sans-serif"/>
                <w:color w:val="auto"/>
              </w:rPr>
            </w:pPr>
            <w:r>
              <w:rPr>
                <w:rFonts w:ascii="宋体" w:hAnsi="宋体" w:cs="sans-serif"/>
                <w:color w:val="auto"/>
                <w:kern w:val="0"/>
                <w:shd w:val="clear" w:color="auto" w:fill="FFFFFF"/>
                <w:lang w:bidi="ar"/>
              </w:rPr>
              <w:t>具有正常牛肉</w:t>
            </w:r>
            <w:r>
              <w:rPr>
                <w:rFonts w:hint="eastAsia" w:ascii="宋体" w:hAnsi="宋体" w:cs="sans-serif"/>
                <w:color w:val="auto"/>
                <w:kern w:val="0"/>
                <w:shd w:val="clear" w:color="auto" w:fill="FFFFFF"/>
                <w:lang w:val="en-US" w:eastAsia="zh-CN" w:bidi="ar"/>
              </w:rPr>
              <w:t>和/或</w:t>
            </w:r>
            <w:r>
              <w:rPr>
                <w:rFonts w:hint="eastAsia" w:ascii="宋体" w:hAnsi="宋体" w:cs="sans-serif"/>
                <w:color w:val="auto"/>
                <w:kern w:val="0"/>
                <w:shd w:val="clear" w:color="auto" w:fill="FFFFFF"/>
                <w:lang w:bidi="ar"/>
              </w:rPr>
              <w:t>其他</w:t>
            </w:r>
            <w:r>
              <w:rPr>
                <w:rFonts w:hint="eastAsia" w:ascii="宋体" w:hAnsi="宋体" w:cs="sans-serif"/>
                <w:color w:val="auto"/>
                <w:kern w:val="0"/>
                <w:shd w:val="clear" w:color="auto" w:fill="FFFFFF"/>
                <w:lang w:val="en-US" w:eastAsia="zh-CN" w:bidi="ar"/>
              </w:rPr>
              <w:t>辅料</w:t>
            </w:r>
            <w:r>
              <w:rPr>
                <w:rFonts w:hint="eastAsia" w:ascii="宋体" w:hAnsi="宋体" w:cs="sans-serif"/>
                <w:color w:val="auto"/>
                <w:kern w:val="0"/>
                <w:shd w:val="clear" w:color="auto" w:fill="FFFFFF"/>
                <w:lang w:bidi="ar"/>
              </w:rPr>
              <w:t>固有的</w:t>
            </w:r>
            <w:r>
              <w:rPr>
                <w:rFonts w:ascii="宋体" w:hAnsi="宋体" w:cs="sans-serif"/>
                <w:color w:val="auto"/>
                <w:kern w:val="0"/>
                <w:shd w:val="clear" w:color="auto" w:fill="FFFFFF"/>
                <w:lang w:bidi="ar"/>
              </w:rPr>
              <w:t>滋</w:t>
            </w:r>
            <w:r>
              <w:rPr>
                <w:rFonts w:hint="eastAsia" w:ascii="宋体" w:hAnsi="宋体" w:cs="宋体"/>
                <w:color w:val="auto"/>
                <w:kern w:val="0"/>
                <w:shd w:val="clear" w:color="auto" w:fill="FFFFFF"/>
                <w:lang w:bidi="ar"/>
              </w:rPr>
              <w:t>味、</w:t>
            </w:r>
            <w:r>
              <w:rPr>
                <w:rFonts w:ascii="宋体" w:hAnsi="宋体" w:cs="sans-serif"/>
                <w:color w:val="auto"/>
                <w:kern w:val="0"/>
                <w:shd w:val="clear" w:color="auto" w:fill="FFFFFF"/>
                <w:lang w:bidi="ar"/>
              </w:rPr>
              <w:t>气味，无异味、无酸败及氧化</w:t>
            </w:r>
            <w:r>
              <w:rPr>
                <w:rFonts w:hint="eastAsia" w:ascii="宋体" w:hAnsi="宋体" w:cs="sans-serif"/>
                <w:color w:val="auto"/>
                <w:kern w:val="0"/>
                <w:shd w:val="clear" w:color="auto" w:fill="FFFFFF"/>
                <w:lang w:bidi="ar"/>
              </w:rPr>
              <w:t>腐败</w:t>
            </w:r>
            <w:r>
              <w:rPr>
                <w:rFonts w:ascii="宋体" w:hAnsi="宋体" w:cs="sans-serif"/>
                <w:color w:val="auto"/>
                <w:kern w:val="0"/>
                <w:shd w:val="clear" w:color="auto" w:fill="FFFFFF"/>
                <w:lang w:bidi="ar"/>
              </w:rPr>
              <w:t>气</w:t>
            </w:r>
            <w:r>
              <w:rPr>
                <w:rFonts w:hint="eastAsia" w:ascii="宋体" w:hAnsi="宋体" w:cs="sans-serif"/>
                <w:color w:val="auto"/>
                <w:kern w:val="0"/>
                <w:shd w:val="clear" w:color="auto" w:fill="FFFFFF"/>
                <w:lang w:bidi="ar"/>
              </w:rPr>
              <w:t>味</w:t>
            </w:r>
          </w:p>
        </w:tc>
        <w:tc>
          <w:tcPr>
            <w:tcW w:w="3115" w:type="dxa"/>
            <w:vMerge w:val="continue"/>
            <w:shd w:val="clear" w:color="auto" w:fill="auto"/>
            <w:vAlign w:val="center"/>
          </w:tcPr>
          <w:p w14:paraId="700F2D8F">
            <w:pPr>
              <w:pStyle w:val="165"/>
              <w:keepNext w:val="0"/>
              <w:keepLines w:val="0"/>
              <w:pageBreakBefore w:val="0"/>
              <w:widowControl/>
              <w:kinsoku/>
              <w:wordWrap/>
              <w:overflowPunct/>
              <w:topLinePunct w:val="0"/>
              <w:autoSpaceDE/>
              <w:autoSpaceDN/>
              <w:bidi w:val="0"/>
              <w:snapToGrid/>
              <w:spacing w:before="0" w:beforeLines="0" w:after="0" w:afterLines="0" w:line="240" w:lineRule="auto"/>
              <w:jc w:val="both"/>
              <w:textAlignment w:val="auto"/>
              <w:rPr>
                <w:color w:val="auto"/>
              </w:rPr>
            </w:pPr>
          </w:p>
        </w:tc>
      </w:tr>
      <w:tr w14:paraId="62AC7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423" w:type="dxa"/>
            <w:shd w:val="clear" w:color="auto" w:fill="auto"/>
            <w:vAlign w:val="center"/>
          </w:tcPr>
          <w:p w14:paraId="598439C4">
            <w:pPr>
              <w:pStyle w:val="165"/>
              <w:keepNext w:val="0"/>
              <w:keepLines w:val="0"/>
              <w:pageBreakBefore w:val="0"/>
              <w:widowControl/>
              <w:kinsoku/>
              <w:wordWrap/>
              <w:overflowPunct/>
              <w:topLinePunct w:val="0"/>
              <w:autoSpaceDE/>
              <w:autoSpaceDN/>
              <w:bidi w:val="0"/>
              <w:snapToGrid w:val="0"/>
              <w:spacing w:before="0" w:beforeLines="0" w:after="0" w:afterLines="0" w:line="240" w:lineRule="auto"/>
              <w:jc w:val="both"/>
              <w:textAlignment w:val="auto"/>
            </w:pPr>
            <w:r>
              <w:rPr>
                <w:shd w:val="clear" w:color="auto" w:fill="FFFFFF"/>
              </w:rPr>
              <w:t>杂质</w:t>
            </w:r>
          </w:p>
        </w:tc>
        <w:tc>
          <w:tcPr>
            <w:tcW w:w="4800" w:type="dxa"/>
            <w:shd w:val="clear" w:color="auto" w:fill="auto"/>
            <w:vAlign w:val="center"/>
          </w:tcPr>
          <w:p w14:paraId="412FE4E7">
            <w:pPr>
              <w:pStyle w:val="165"/>
              <w:keepNext w:val="0"/>
              <w:keepLines w:val="0"/>
              <w:pageBreakBefore w:val="0"/>
              <w:widowControl/>
              <w:kinsoku/>
              <w:wordWrap/>
              <w:overflowPunct/>
              <w:topLinePunct w:val="0"/>
              <w:autoSpaceDE/>
              <w:autoSpaceDN/>
              <w:bidi w:val="0"/>
              <w:snapToGrid w:val="0"/>
              <w:spacing w:before="0" w:beforeLines="0" w:after="0" w:afterLines="0" w:line="240" w:lineRule="auto"/>
              <w:jc w:val="both"/>
              <w:textAlignment w:val="auto"/>
              <w:rPr>
                <w:color w:val="auto"/>
              </w:rPr>
            </w:pPr>
            <w:r>
              <w:rPr>
                <w:color w:val="auto"/>
                <w:shd w:val="clear" w:color="auto" w:fill="FFFFFF"/>
              </w:rPr>
              <w:t>无正常视力可见外来异物</w:t>
            </w:r>
          </w:p>
        </w:tc>
        <w:tc>
          <w:tcPr>
            <w:tcW w:w="3115" w:type="dxa"/>
            <w:vMerge w:val="continue"/>
            <w:shd w:val="clear" w:color="auto" w:fill="auto"/>
            <w:vAlign w:val="center"/>
          </w:tcPr>
          <w:p w14:paraId="565B4E54">
            <w:pPr>
              <w:pStyle w:val="165"/>
              <w:keepNext w:val="0"/>
              <w:keepLines w:val="0"/>
              <w:pageBreakBefore w:val="0"/>
              <w:widowControl/>
              <w:kinsoku/>
              <w:wordWrap/>
              <w:overflowPunct/>
              <w:topLinePunct w:val="0"/>
              <w:autoSpaceDE/>
              <w:autoSpaceDN/>
              <w:bidi w:val="0"/>
              <w:snapToGrid/>
              <w:spacing w:before="0" w:beforeLines="0" w:after="0" w:afterLines="0" w:line="240" w:lineRule="auto"/>
              <w:jc w:val="both"/>
              <w:textAlignment w:val="auto"/>
              <w:rPr>
                <w:color w:val="auto"/>
              </w:rPr>
            </w:pPr>
          </w:p>
        </w:tc>
      </w:tr>
    </w:tbl>
    <w:p w14:paraId="209D18C8">
      <w:pPr>
        <w:spacing w:line="240" w:lineRule="auto"/>
        <w:jc w:val="center"/>
        <w:rPr>
          <w:rFonts w:hint="eastAsia" w:hAnsi="宋体" w:cs="宋体"/>
          <w:spacing w:val="-8"/>
        </w:rPr>
      </w:pPr>
    </w:p>
    <w:p w14:paraId="586227C7">
      <w:pPr>
        <w:pStyle w:val="165"/>
      </w:pPr>
    </w:p>
    <w:p w14:paraId="7100A52B">
      <w:pPr>
        <w:pStyle w:val="106"/>
      </w:pPr>
      <w:r>
        <w:rPr>
          <w:rFonts w:hint="eastAsia"/>
        </w:rPr>
        <w:t>理化指标</w:t>
      </w:r>
    </w:p>
    <w:p w14:paraId="0C326D69">
      <w:pPr>
        <w:pStyle w:val="165"/>
        <w:ind w:firstLine="420" w:firstLineChars="200"/>
      </w:pPr>
      <w:r>
        <w:t xml:space="preserve">应符合表 </w:t>
      </w:r>
      <w:r>
        <w:rPr>
          <w:rFonts w:hint="eastAsia"/>
          <w:lang w:val="en-US" w:eastAsia="zh-CN"/>
        </w:rPr>
        <w:t>3</w:t>
      </w:r>
      <w:r>
        <w:t xml:space="preserve"> 的规定。</w:t>
      </w:r>
    </w:p>
    <w:p w14:paraId="37ED0CC5">
      <w:pPr>
        <w:pStyle w:val="165"/>
        <w:jc w:val="center"/>
        <w:rPr>
          <w:rFonts w:hint="eastAsia" w:eastAsia="宋体"/>
          <w:lang w:eastAsia="zh-CN"/>
        </w:rPr>
      </w:pPr>
      <w:r>
        <w:rPr>
          <w:rFonts w:hint="eastAsia"/>
        </w:rPr>
        <w:t>表</w:t>
      </w:r>
      <w:r>
        <w:rPr>
          <w:rFonts w:hint="eastAsia"/>
          <w:lang w:val="en-US" w:eastAsia="zh-CN"/>
        </w:rPr>
        <w:t>3</w:t>
      </w:r>
      <w:r>
        <w:rPr>
          <w:rFonts w:hint="eastAsia"/>
        </w:rPr>
        <w:t xml:space="preserve"> 理化指标</w:t>
      </w:r>
    </w:p>
    <w:p w14:paraId="68954C7A">
      <w:pPr>
        <w:pStyle w:val="165"/>
        <w:jc w:val="center"/>
        <w:rPr>
          <w:rFonts w:hint="eastAsia"/>
          <w:highlight w:val="none"/>
        </w:rPr>
      </w:pP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9"/>
        <w:gridCol w:w="1137"/>
        <w:gridCol w:w="1575"/>
        <w:gridCol w:w="1325"/>
        <w:gridCol w:w="1478"/>
      </w:tblGrid>
      <w:tr w14:paraId="0B09D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3829" w:type="dxa"/>
            <w:vMerge w:val="restart"/>
            <w:shd w:val="clear" w:color="auto" w:fill="auto"/>
            <w:vAlign w:val="center"/>
          </w:tcPr>
          <w:p w14:paraId="70526BEE">
            <w:pPr>
              <w:pStyle w:val="165"/>
              <w:jc w:val="center"/>
              <w:rPr>
                <w:highlight w:val="none"/>
              </w:rPr>
            </w:pPr>
            <w:bookmarkStart w:id="47" w:name="OLE_LINK8"/>
            <w:r>
              <w:rPr>
                <w:highlight w:val="none"/>
                <w:lang w:bidi="ar"/>
              </w:rPr>
              <w:t>项目</w:t>
            </w:r>
          </w:p>
        </w:tc>
        <w:tc>
          <w:tcPr>
            <w:tcW w:w="4037" w:type="dxa"/>
            <w:gridSpan w:val="3"/>
            <w:vAlign w:val="center"/>
          </w:tcPr>
          <w:p w14:paraId="77A028E0">
            <w:pPr>
              <w:pStyle w:val="165"/>
              <w:jc w:val="center"/>
              <w:rPr>
                <w:highlight w:val="none"/>
              </w:rPr>
            </w:pPr>
            <w:r>
              <w:rPr>
                <w:rFonts w:hint="eastAsia"/>
                <w:highlight w:val="none"/>
              </w:rPr>
              <w:t>指标</w:t>
            </w:r>
          </w:p>
        </w:tc>
        <w:tc>
          <w:tcPr>
            <w:tcW w:w="1478" w:type="dxa"/>
            <w:vMerge w:val="restart"/>
            <w:vAlign w:val="center"/>
          </w:tcPr>
          <w:p w14:paraId="535563E5">
            <w:pPr>
              <w:pStyle w:val="165"/>
              <w:jc w:val="center"/>
              <w:rPr>
                <w:highlight w:val="none"/>
              </w:rPr>
            </w:pPr>
            <w:r>
              <w:rPr>
                <w:rFonts w:hint="eastAsia"/>
                <w:highlight w:val="none"/>
              </w:rPr>
              <w:t>检验方法</w:t>
            </w:r>
          </w:p>
        </w:tc>
      </w:tr>
      <w:tr w14:paraId="781F2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3829" w:type="dxa"/>
            <w:vMerge w:val="continue"/>
            <w:shd w:val="clear" w:color="auto" w:fill="auto"/>
            <w:vAlign w:val="center"/>
          </w:tcPr>
          <w:p w14:paraId="1FACB526">
            <w:pPr>
              <w:pStyle w:val="165"/>
              <w:jc w:val="both"/>
              <w:rPr>
                <w:highlight w:val="none"/>
                <w:lang w:bidi="ar"/>
              </w:rPr>
            </w:pPr>
          </w:p>
        </w:tc>
        <w:tc>
          <w:tcPr>
            <w:tcW w:w="1137" w:type="dxa"/>
            <w:vAlign w:val="center"/>
          </w:tcPr>
          <w:p w14:paraId="0A63FC88">
            <w:pPr>
              <w:pStyle w:val="165"/>
              <w:jc w:val="center"/>
              <w:rPr>
                <w:highlight w:val="none"/>
              </w:rPr>
            </w:pPr>
            <w:r>
              <w:rPr>
                <w:rFonts w:hint="eastAsia"/>
                <w:highlight w:val="none"/>
              </w:rPr>
              <w:t>纯牛肉饼</w:t>
            </w:r>
          </w:p>
        </w:tc>
        <w:tc>
          <w:tcPr>
            <w:tcW w:w="1575" w:type="dxa"/>
            <w:vAlign w:val="center"/>
          </w:tcPr>
          <w:p w14:paraId="3E3EA0BB">
            <w:pPr>
              <w:pStyle w:val="165"/>
              <w:jc w:val="center"/>
              <w:rPr>
                <w:highlight w:val="none"/>
              </w:rPr>
            </w:pPr>
            <w:r>
              <w:rPr>
                <w:rFonts w:hint="eastAsia"/>
                <w:highlight w:val="none"/>
              </w:rPr>
              <w:t>纯调制牛肉饼</w:t>
            </w:r>
          </w:p>
        </w:tc>
        <w:tc>
          <w:tcPr>
            <w:tcW w:w="1325" w:type="dxa"/>
            <w:vAlign w:val="center"/>
          </w:tcPr>
          <w:p w14:paraId="4FFD364A">
            <w:pPr>
              <w:pStyle w:val="165"/>
              <w:jc w:val="center"/>
              <w:rPr>
                <w:highlight w:val="none"/>
              </w:rPr>
            </w:pPr>
            <w:r>
              <w:rPr>
                <w:rFonts w:hint="eastAsia"/>
                <w:highlight w:val="none"/>
              </w:rPr>
              <w:t>混合调制牛肉饼</w:t>
            </w:r>
          </w:p>
        </w:tc>
        <w:tc>
          <w:tcPr>
            <w:tcW w:w="1478" w:type="dxa"/>
            <w:vMerge w:val="continue"/>
            <w:vAlign w:val="center"/>
          </w:tcPr>
          <w:p w14:paraId="47F461B6">
            <w:pPr>
              <w:pStyle w:val="165"/>
              <w:jc w:val="both"/>
              <w:rPr>
                <w:highlight w:val="none"/>
              </w:rPr>
            </w:pPr>
          </w:p>
        </w:tc>
      </w:tr>
      <w:tr w14:paraId="732EF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3829" w:type="dxa"/>
            <w:vAlign w:val="center"/>
          </w:tcPr>
          <w:p w14:paraId="1A554FAC">
            <w:pPr>
              <w:pStyle w:val="165"/>
              <w:jc w:val="both"/>
              <w:rPr>
                <w:highlight w:val="none"/>
                <w:lang w:bidi="ar"/>
              </w:rPr>
            </w:pPr>
            <w:bookmarkStart w:id="48" w:name="OLE_LINK9" w:colFirst="1" w:colLast="2"/>
            <w:r>
              <w:rPr>
                <w:rFonts w:hint="eastAsia"/>
                <w:highlight w:val="none"/>
              </w:rPr>
              <w:t xml:space="preserve">蛋白质/（g/100g）               </w:t>
            </w:r>
            <w:r>
              <w:rPr>
                <w:rFonts w:hint="eastAsia"/>
                <w:highlight w:val="none"/>
                <w:lang w:bidi="ar"/>
              </w:rPr>
              <w:t>≥</w:t>
            </w:r>
          </w:p>
        </w:tc>
        <w:tc>
          <w:tcPr>
            <w:tcW w:w="1137" w:type="dxa"/>
            <w:vAlign w:val="center"/>
          </w:tcPr>
          <w:p w14:paraId="6CC7FE08">
            <w:pPr>
              <w:pStyle w:val="165"/>
              <w:jc w:val="both"/>
              <w:rPr>
                <w:highlight w:val="none"/>
              </w:rPr>
            </w:pPr>
            <w:r>
              <w:rPr>
                <w:rFonts w:hint="eastAsia"/>
                <w:highlight w:val="none"/>
              </w:rPr>
              <w:t>--</w:t>
            </w:r>
          </w:p>
        </w:tc>
        <w:tc>
          <w:tcPr>
            <w:tcW w:w="1575" w:type="dxa"/>
            <w:vAlign w:val="center"/>
          </w:tcPr>
          <w:p w14:paraId="2AF88F97">
            <w:pPr>
              <w:pStyle w:val="165"/>
              <w:jc w:val="both"/>
              <w:rPr>
                <w:highlight w:val="none"/>
              </w:rPr>
            </w:pPr>
            <w:r>
              <w:rPr>
                <w:rFonts w:hint="eastAsia"/>
                <w:highlight w:val="none"/>
              </w:rPr>
              <w:t>--</w:t>
            </w:r>
          </w:p>
        </w:tc>
        <w:tc>
          <w:tcPr>
            <w:tcW w:w="1325" w:type="dxa"/>
            <w:vAlign w:val="center"/>
          </w:tcPr>
          <w:p w14:paraId="45DCCBA0">
            <w:pPr>
              <w:pStyle w:val="165"/>
              <w:jc w:val="both"/>
              <w:rPr>
                <w:rFonts w:hint="default" w:eastAsia="宋体"/>
                <w:highlight w:val="none"/>
                <w:lang w:val="en-US" w:eastAsia="zh-CN"/>
              </w:rPr>
            </w:pPr>
            <w:r>
              <w:rPr>
                <w:rFonts w:hint="eastAsia"/>
                <w:highlight w:val="none"/>
                <w:lang w:val="en-US" w:eastAsia="zh-CN"/>
              </w:rPr>
              <w:t>10</w:t>
            </w:r>
          </w:p>
        </w:tc>
        <w:tc>
          <w:tcPr>
            <w:tcW w:w="1478" w:type="dxa"/>
            <w:vAlign w:val="center"/>
          </w:tcPr>
          <w:p w14:paraId="24E8653D">
            <w:pPr>
              <w:pStyle w:val="165"/>
              <w:jc w:val="both"/>
              <w:rPr>
                <w:highlight w:val="none"/>
              </w:rPr>
            </w:pPr>
            <w:r>
              <w:rPr>
                <w:highlight w:val="none"/>
              </w:rPr>
              <w:t>GB</w:t>
            </w:r>
            <w:r>
              <w:rPr>
                <w:rFonts w:hint="eastAsia"/>
                <w:highlight w:val="none"/>
              </w:rPr>
              <w:t xml:space="preserve"> </w:t>
            </w:r>
            <w:r>
              <w:rPr>
                <w:highlight w:val="none"/>
              </w:rPr>
              <w:t>5009.5</w:t>
            </w:r>
          </w:p>
        </w:tc>
      </w:tr>
      <w:tr w14:paraId="034ED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3829" w:type="dxa"/>
            <w:vAlign w:val="center"/>
          </w:tcPr>
          <w:p w14:paraId="45E980B8">
            <w:pPr>
              <w:pStyle w:val="165"/>
              <w:jc w:val="both"/>
              <w:rPr>
                <w:highlight w:val="none"/>
                <w:lang w:bidi="ar"/>
              </w:rPr>
            </w:pPr>
            <w:r>
              <w:rPr>
                <w:rFonts w:hint="eastAsia"/>
                <w:highlight w:val="none"/>
                <w:lang w:bidi="ar"/>
              </w:rPr>
              <w:t>淀粉</w:t>
            </w:r>
            <w:r>
              <w:rPr>
                <w:highlight w:val="none"/>
              </w:rPr>
              <w:t>/（g/100g）</w:t>
            </w:r>
            <w:r>
              <w:rPr>
                <w:rFonts w:hint="eastAsia"/>
                <w:highlight w:val="none"/>
                <w:lang w:val="en-US" w:eastAsia="zh-CN" w:bidi="ar"/>
              </w:rPr>
              <w:t xml:space="preserve">                 </w:t>
            </w:r>
            <w:r>
              <w:rPr>
                <w:rFonts w:hint="eastAsia"/>
                <w:highlight w:val="none"/>
                <w:lang w:bidi="ar"/>
              </w:rPr>
              <w:t>≤</w:t>
            </w:r>
          </w:p>
        </w:tc>
        <w:tc>
          <w:tcPr>
            <w:tcW w:w="1137" w:type="dxa"/>
            <w:vAlign w:val="center"/>
          </w:tcPr>
          <w:p w14:paraId="67B81ABF">
            <w:pPr>
              <w:pStyle w:val="165"/>
              <w:jc w:val="both"/>
              <w:rPr>
                <w:highlight w:val="none"/>
              </w:rPr>
            </w:pPr>
            <w:r>
              <w:rPr>
                <w:rFonts w:hint="eastAsia"/>
                <w:highlight w:val="none"/>
              </w:rPr>
              <w:t>--</w:t>
            </w:r>
          </w:p>
        </w:tc>
        <w:tc>
          <w:tcPr>
            <w:tcW w:w="1575" w:type="dxa"/>
            <w:vAlign w:val="center"/>
          </w:tcPr>
          <w:p w14:paraId="2A44EFAE">
            <w:pPr>
              <w:pStyle w:val="165"/>
              <w:jc w:val="both"/>
              <w:rPr>
                <w:highlight w:val="none"/>
              </w:rPr>
            </w:pPr>
            <w:r>
              <w:rPr>
                <w:rFonts w:hint="eastAsia"/>
                <w:highlight w:val="none"/>
              </w:rPr>
              <w:t>--</w:t>
            </w:r>
          </w:p>
        </w:tc>
        <w:tc>
          <w:tcPr>
            <w:tcW w:w="1325" w:type="dxa"/>
            <w:vAlign w:val="center"/>
          </w:tcPr>
          <w:p w14:paraId="1AA18331">
            <w:pPr>
              <w:pStyle w:val="165"/>
              <w:jc w:val="both"/>
              <w:rPr>
                <w:rFonts w:hint="eastAsia" w:eastAsia="宋体"/>
                <w:highlight w:val="none"/>
                <w:lang w:val="en-US" w:eastAsia="zh-CN"/>
              </w:rPr>
            </w:pPr>
            <w:r>
              <w:rPr>
                <w:rFonts w:hint="eastAsia"/>
                <w:highlight w:val="none"/>
                <w:lang w:val="en-US" w:eastAsia="zh-CN"/>
              </w:rPr>
              <w:t>3</w:t>
            </w:r>
          </w:p>
        </w:tc>
        <w:tc>
          <w:tcPr>
            <w:tcW w:w="1478" w:type="dxa"/>
            <w:vAlign w:val="center"/>
          </w:tcPr>
          <w:p w14:paraId="4CDA0D01">
            <w:pPr>
              <w:pStyle w:val="165"/>
              <w:jc w:val="both"/>
              <w:rPr>
                <w:rFonts w:hint="default" w:eastAsia="宋体"/>
                <w:highlight w:val="none"/>
                <w:lang w:val="en-US" w:eastAsia="zh-CN"/>
              </w:rPr>
            </w:pPr>
            <w:r>
              <w:rPr>
                <w:rFonts w:hint="eastAsia"/>
                <w:highlight w:val="none"/>
                <w:lang w:val="en-US" w:eastAsia="zh-CN"/>
              </w:rPr>
              <w:t>GB 5009.9</w:t>
            </w:r>
          </w:p>
        </w:tc>
      </w:tr>
      <w:tr w14:paraId="42BBD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3829" w:type="dxa"/>
            <w:vAlign w:val="center"/>
          </w:tcPr>
          <w:p w14:paraId="45915742">
            <w:pPr>
              <w:pStyle w:val="165"/>
              <w:jc w:val="both"/>
              <w:rPr>
                <w:highlight w:val="none"/>
              </w:rPr>
            </w:pPr>
            <w:r>
              <w:rPr>
                <w:rFonts w:hint="eastAsia"/>
                <w:highlight w:val="none"/>
              </w:rPr>
              <w:t>脂肪</w:t>
            </w:r>
            <w:r>
              <w:rPr>
                <w:highlight w:val="none"/>
              </w:rPr>
              <w:t xml:space="preserve">/(g/100g)                   </w:t>
            </w:r>
            <w:r>
              <w:rPr>
                <w:rFonts w:hint="eastAsia"/>
                <w:highlight w:val="none"/>
                <w:lang w:bidi="ar"/>
              </w:rPr>
              <w:t>≤</w:t>
            </w:r>
          </w:p>
        </w:tc>
        <w:tc>
          <w:tcPr>
            <w:tcW w:w="1137" w:type="dxa"/>
            <w:vAlign w:val="center"/>
          </w:tcPr>
          <w:p w14:paraId="49BC91C9">
            <w:pPr>
              <w:pStyle w:val="165"/>
              <w:jc w:val="both"/>
              <w:rPr>
                <w:highlight w:val="none"/>
              </w:rPr>
            </w:pPr>
            <w:r>
              <w:rPr>
                <w:highlight w:val="none"/>
              </w:rPr>
              <w:t>30</w:t>
            </w:r>
          </w:p>
        </w:tc>
        <w:tc>
          <w:tcPr>
            <w:tcW w:w="1575" w:type="dxa"/>
            <w:vAlign w:val="center"/>
          </w:tcPr>
          <w:p w14:paraId="43E9CE5D">
            <w:pPr>
              <w:pStyle w:val="165"/>
              <w:jc w:val="both"/>
              <w:rPr>
                <w:rFonts w:hint="default" w:eastAsia="宋体"/>
                <w:highlight w:val="none"/>
                <w:lang w:val="en-US" w:eastAsia="zh-CN"/>
              </w:rPr>
            </w:pPr>
            <w:r>
              <w:rPr>
                <w:rFonts w:hint="eastAsia"/>
                <w:highlight w:val="none"/>
                <w:lang w:val="en-US" w:eastAsia="zh-CN"/>
              </w:rPr>
              <w:t>30</w:t>
            </w:r>
          </w:p>
        </w:tc>
        <w:tc>
          <w:tcPr>
            <w:tcW w:w="1325" w:type="dxa"/>
            <w:vAlign w:val="center"/>
          </w:tcPr>
          <w:p w14:paraId="2C71DA60">
            <w:pPr>
              <w:pStyle w:val="165"/>
              <w:jc w:val="both"/>
              <w:rPr>
                <w:highlight w:val="none"/>
              </w:rPr>
            </w:pPr>
            <w:r>
              <w:rPr>
                <w:rFonts w:hint="eastAsia"/>
                <w:highlight w:val="none"/>
              </w:rPr>
              <w:t>--</w:t>
            </w:r>
          </w:p>
        </w:tc>
        <w:tc>
          <w:tcPr>
            <w:tcW w:w="1478" w:type="dxa"/>
            <w:vAlign w:val="center"/>
          </w:tcPr>
          <w:p w14:paraId="6012A8ED">
            <w:pPr>
              <w:pStyle w:val="165"/>
              <w:jc w:val="both"/>
              <w:rPr>
                <w:strike/>
                <w:highlight w:val="none"/>
              </w:rPr>
            </w:pPr>
            <w:r>
              <w:rPr>
                <w:highlight w:val="none"/>
              </w:rPr>
              <w:t>GB 5009.6</w:t>
            </w:r>
          </w:p>
        </w:tc>
      </w:tr>
      <w:bookmarkEnd w:id="48"/>
      <w:tr w14:paraId="39811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3829" w:type="dxa"/>
            <w:vAlign w:val="center"/>
          </w:tcPr>
          <w:p w14:paraId="6869AC5B">
            <w:pPr>
              <w:pStyle w:val="165"/>
              <w:jc w:val="both"/>
              <w:rPr>
                <w:highlight w:val="none"/>
                <w:lang w:bidi="ar"/>
              </w:rPr>
            </w:pPr>
            <w:r>
              <w:rPr>
                <w:highlight w:val="none"/>
              </w:rPr>
              <w:t xml:space="preserve">水分/（g/100g）               </w:t>
            </w:r>
            <w:r>
              <w:rPr>
                <w:highlight w:val="none"/>
                <w:lang w:bidi="ar"/>
              </w:rPr>
              <w:t xml:space="preserve">  </w:t>
            </w:r>
            <w:r>
              <w:rPr>
                <w:rFonts w:hint="eastAsia"/>
                <w:highlight w:val="none"/>
                <w:lang w:bidi="ar"/>
              </w:rPr>
              <w:t>≤</w:t>
            </w:r>
          </w:p>
        </w:tc>
        <w:tc>
          <w:tcPr>
            <w:tcW w:w="1137" w:type="dxa"/>
            <w:vAlign w:val="center"/>
          </w:tcPr>
          <w:p w14:paraId="19948BA9">
            <w:pPr>
              <w:pStyle w:val="165"/>
              <w:jc w:val="both"/>
              <w:rPr>
                <w:highlight w:val="none"/>
              </w:rPr>
            </w:pPr>
            <w:r>
              <w:rPr>
                <w:rFonts w:hint="eastAsia"/>
                <w:highlight w:val="none"/>
              </w:rPr>
              <w:t>77</w:t>
            </w:r>
          </w:p>
        </w:tc>
        <w:tc>
          <w:tcPr>
            <w:tcW w:w="1575" w:type="dxa"/>
            <w:vAlign w:val="center"/>
          </w:tcPr>
          <w:p w14:paraId="7612E5CF">
            <w:pPr>
              <w:pStyle w:val="165"/>
              <w:jc w:val="both"/>
              <w:rPr>
                <w:highlight w:val="none"/>
              </w:rPr>
            </w:pPr>
            <w:r>
              <w:rPr>
                <w:rFonts w:hint="eastAsia"/>
                <w:highlight w:val="none"/>
              </w:rPr>
              <w:t>--</w:t>
            </w:r>
          </w:p>
        </w:tc>
        <w:tc>
          <w:tcPr>
            <w:tcW w:w="1325" w:type="dxa"/>
            <w:vAlign w:val="center"/>
          </w:tcPr>
          <w:p w14:paraId="241F5230">
            <w:pPr>
              <w:pStyle w:val="165"/>
              <w:jc w:val="both"/>
              <w:rPr>
                <w:highlight w:val="none"/>
              </w:rPr>
            </w:pPr>
            <w:r>
              <w:rPr>
                <w:rFonts w:hint="eastAsia"/>
                <w:highlight w:val="none"/>
              </w:rPr>
              <w:t>--</w:t>
            </w:r>
          </w:p>
        </w:tc>
        <w:tc>
          <w:tcPr>
            <w:tcW w:w="1478" w:type="dxa"/>
            <w:vAlign w:val="center"/>
          </w:tcPr>
          <w:p w14:paraId="5101DE74">
            <w:pPr>
              <w:pStyle w:val="165"/>
              <w:jc w:val="both"/>
              <w:rPr>
                <w:highlight w:val="none"/>
              </w:rPr>
            </w:pPr>
            <w:r>
              <w:rPr>
                <w:highlight w:val="none"/>
              </w:rPr>
              <w:t>GB</w:t>
            </w:r>
            <w:r>
              <w:rPr>
                <w:rFonts w:hint="eastAsia"/>
                <w:highlight w:val="none"/>
              </w:rPr>
              <w:t xml:space="preserve"> </w:t>
            </w:r>
            <w:r>
              <w:rPr>
                <w:highlight w:val="none"/>
              </w:rPr>
              <w:t>5009.3</w:t>
            </w:r>
          </w:p>
        </w:tc>
      </w:tr>
      <w:tr w14:paraId="4C8DA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3829" w:type="dxa"/>
            <w:vAlign w:val="center"/>
          </w:tcPr>
          <w:p w14:paraId="54DE5919">
            <w:pPr>
              <w:pStyle w:val="165"/>
              <w:jc w:val="both"/>
              <w:rPr>
                <w:highlight w:val="none"/>
                <w:lang w:bidi="ar"/>
              </w:rPr>
            </w:pPr>
            <w:r>
              <w:rPr>
                <w:highlight w:val="none"/>
                <w:lang w:bidi="ar"/>
              </w:rPr>
              <w:t xml:space="preserve">挥发性盐基氮/（mg/100g）        </w:t>
            </w:r>
            <w:bookmarkStart w:id="49" w:name="OLE_LINK11"/>
            <w:r>
              <w:rPr>
                <w:rFonts w:hint="eastAsia"/>
                <w:highlight w:val="none"/>
                <w:lang w:bidi="ar"/>
              </w:rPr>
              <w:t>≤</w:t>
            </w:r>
            <w:bookmarkEnd w:id="49"/>
          </w:p>
        </w:tc>
        <w:tc>
          <w:tcPr>
            <w:tcW w:w="1137" w:type="dxa"/>
            <w:vAlign w:val="center"/>
          </w:tcPr>
          <w:p w14:paraId="0D766AF2">
            <w:pPr>
              <w:pStyle w:val="165"/>
              <w:jc w:val="both"/>
              <w:rPr>
                <w:rFonts w:hint="default" w:eastAsia="宋体"/>
                <w:highlight w:val="none"/>
                <w:lang w:val="en-US" w:eastAsia="zh-CN"/>
              </w:rPr>
            </w:pPr>
            <w:r>
              <w:rPr>
                <w:rFonts w:hint="eastAsia"/>
                <w:highlight w:val="none"/>
                <w:lang w:val="en-US" w:eastAsia="zh-CN"/>
              </w:rPr>
              <w:t>13</w:t>
            </w:r>
          </w:p>
        </w:tc>
        <w:tc>
          <w:tcPr>
            <w:tcW w:w="1575" w:type="dxa"/>
            <w:vAlign w:val="center"/>
          </w:tcPr>
          <w:p w14:paraId="464E7CF5">
            <w:pPr>
              <w:pStyle w:val="165"/>
              <w:jc w:val="both"/>
              <w:rPr>
                <w:highlight w:val="none"/>
              </w:rPr>
            </w:pPr>
            <w:r>
              <w:rPr>
                <w:rFonts w:hint="eastAsia"/>
                <w:highlight w:val="none"/>
              </w:rPr>
              <w:t>--</w:t>
            </w:r>
          </w:p>
        </w:tc>
        <w:tc>
          <w:tcPr>
            <w:tcW w:w="1325" w:type="dxa"/>
            <w:vAlign w:val="center"/>
          </w:tcPr>
          <w:p w14:paraId="2094DBF6">
            <w:pPr>
              <w:pStyle w:val="165"/>
              <w:jc w:val="both"/>
              <w:rPr>
                <w:highlight w:val="none"/>
              </w:rPr>
            </w:pPr>
            <w:r>
              <w:rPr>
                <w:rFonts w:hint="eastAsia"/>
                <w:highlight w:val="none"/>
              </w:rPr>
              <w:t>--</w:t>
            </w:r>
          </w:p>
        </w:tc>
        <w:tc>
          <w:tcPr>
            <w:tcW w:w="1478" w:type="dxa"/>
            <w:vAlign w:val="center"/>
          </w:tcPr>
          <w:p w14:paraId="281C078E">
            <w:pPr>
              <w:pStyle w:val="165"/>
              <w:jc w:val="both"/>
              <w:rPr>
                <w:highlight w:val="none"/>
              </w:rPr>
            </w:pPr>
            <w:r>
              <w:rPr>
                <w:highlight w:val="none"/>
              </w:rPr>
              <w:t>GB</w:t>
            </w:r>
            <w:r>
              <w:rPr>
                <w:rFonts w:hint="eastAsia"/>
                <w:highlight w:val="none"/>
              </w:rPr>
              <w:t xml:space="preserve"> </w:t>
            </w:r>
            <w:r>
              <w:rPr>
                <w:highlight w:val="none"/>
              </w:rPr>
              <w:t>5009.228</w:t>
            </w:r>
          </w:p>
        </w:tc>
      </w:tr>
      <w:tr w14:paraId="4884A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3829" w:type="dxa"/>
            <w:vAlign w:val="center"/>
          </w:tcPr>
          <w:p w14:paraId="616DAB05">
            <w:pPr>
              <w:pStyle w:val="165"/>
              <w:jc w:val="both"/>
              <w:rPr>
                <w:highlight w:val="none"/>
              </w:rPr>
            </w:pPr>
            <w:r>
              <w:rPr>
                <w:highlight w:val="none"/>
                <w:lang w:bidi="ar"/>
              </w:rPr>
              <w:t>过氧化值（以脂肪计）/</w:t>
            </w:r>
            <w:r>
              <w:rPr>
                <w:rFonts w:hint="eastAsia"/>
                <w:highlight w:val="none"/>
                <w:lang w:bidi="ar"/>
              </w:rPr>
              <w:t>（</w:t>
            </w:r>
            <w:r>
              <w:rPr>
                <w:highlight w:val="none"/>
              </w:rPr>
              <w:t>g/100g</w:t>
            </w:r>
            <w:r>
              <w:rPr>
                <w:rFonts w:hint="eastAsia"/>
                <w:highlight w:val="none"/>
              </w:rPr>
              <w:t>）</w:t>
            </w:r>
            <w:r>
              <w:rPr>
                <w:highlight w:val="none"/>
              </w:rPr>
              <w:t xml:space="preserve"> </w:t>
            </w:r>
            <w:r>
              <w:rPr>
                <w:rFonts w:hint="eastAsia"/>
                <w:highlight w:val="none"/>
                <w:lang w:bidi="ar"/>
              </w:rPr>
              <w:t>≤</w:t>
            </w:r>
          </w:p>
        </w:tc>
        <w:tc>
          <w:tcPr>
            <w:tcW w:w="1137" w:type="dxa"/>
            <w:vAlign w:val="center"/>
          </w:tcPr>
          <w:p w14:paraId="2CA77406">
            <w:pPr>
              <w:pStyle w:val="165"/>
              <w:jc w:val="both"/>
              <w:rPr>
                <w:highlight w:val="none"/>
              </w:rPr>
            </w:pPr>
            <w:r>
              <w:rPr>
                <w:rFonts w:hint="eastAsia"/>
                <w:highlight w:val="none"/>
              </w:rPr>
              <w:t>--</w:t>
            </w:r>
          </w:p>
        </w:tc>
        <w:tc>
          <w:tcPr>
            <w:tcW w:w="1575" w:type="dxa"/>
            <w:vAlign w:val="center"/>
          </w:tcPr>
          <w:p w14:paraId="33D843A0">
            <w:pPr>
              <w:pStyle w:val="165"/>
              <w:jc w:val="both"/>
              <w:rPr>
                <w:highlight w:val="none"/>
              </w:rPr>
            </w:pPr>
            <w:r>
              <w:rPr>
                <w:rFonts w:hint="eastAsia"/>
                <w:highlight w:val="none"/>
              </w:rPr>
              <w:t>0.</w:t>
            </w:r>
            <w:r>
              <w:rPr>
                <w:rFonts w:hint="eastAsia"/>
                <w:highlight w:val="none"/>
                <w:lang w:val="en-US" w:eastAsia="zh-CN"/>
              </w:rPr>
              <w:t>20</w:t>
            </w:r>
          </w:p>
        </w:tc>
        <w:tc>
          <w:tcPr>
            <w:tcW w:w="1325" w:type="dxa"/>
            <w:vAlign w:val="center"/>
          </w:tcPr>
          <w:p w14:paraId="67D69229">
            <w:pPr>
              <w:pStyle w:val="165"/>
              <w:jc w:val="both"/>
              <w:rPr>
                <w:highlight w:val="none"/>
              </w:rPr>
            </w:pPr>
            <w:r>
              <w:rPr>
                <w:rFonts w:hint="eastAsia"/>
                <w:highlight w:val="none"/>
              </w:rPr>
              <w:t>0.</w:t>
            </w:r>
            <w:r>
              <w:rPr>
                <w:rFonts w:hint="eastAsia"/>
                <w:highlight w:val="none"/>
                <w:lang w:val="en-US" w:eastAsia="zh-CN"/>
              </w:rPr>
              <w:t>20</w:t>
            </w:r>
          </w:p>
        </w:tc>
        <w:tc>
          <w:tcPr>
            <w:tcW w:w="1478" w:type="dxa"/>
            <w:vAlign w:val="center"/>
          </w:tcPr>
          <w:p w14:paraId="58140D73">
            <w:pPr>
              <w:pStyle w:val="165"/>
              <w:jc w:val="both"/>
              <w:rPr>
                <w:highlight w:val="none"/>
              </w:rPr>
            </w:pPr>
            <w:r>
              <w:rPr>
                <w:highlight w:val="none"/>
              </w:rPr>
              <w:t>GB</w:t>
            </w:r>
            <w:r>
              <w:rPr>
                <w:rFonts w:hint="eastAsia"/>
                <w:highlight w:val="none"/>
              </w:rPr>
              <w:t xml:space="preserve"> </w:t>
            </w:r>
            <w:r>
              <w:rPr>
                <w:highlight w:val="none"/>
              </w:rPr>
              <w:t>5009.227</w:t>
            </w:r>
          </w:p>
        </w:tc>
      </w:tr>
      <w:bookmarkEnd w:id="47"/>
    </w:tbl>
    <w:p w14:paraId="5C115E6A">
      <w:pPr>
        <w:pStyle w:val="106"/>
        <w:rPr>
          <w:highlight w:val="none"/>
        </w:rPr>
      </w:pPr>
      <w:r>
        <w:rPr>
          <w:rFonts w:hint="eastAsia"/>
          <w:highlight w:val="none"/>
        </w:rPr>
        <w:t>污染物限量</w:t>
      </w:r>
    </w:p>
    <w:p w14:paraId="1346D02E">
      <w:pPr>
        <w:pStyle w:val="57"/>
        <w:ind w:left="0" w:leftChars="0" w:firstLine="420" w:firstLineChars="200"/>
        <w:rPr>
          <w:rFonts w:hint="eastAsia" w:eastAsia="宋体"/>
          <w:lang w:eastAsia="zh-CN"/>
        </w:rPr>
      </w:pPr>
      <w:r>
        <w:rPr>
          <w:rFonts w:hint="eastAsia"/>
        </w:rPr>
        <w:t>应符合GB 2762的规定</w:t>
      </w:r>
      <w:r>
        <w:rPr>
          <w:rFonts w:hint="eastAsia"/>
          <w:lang w:eastAsia="zh-CN"/>
        </w:rPr>
        <w:t>。</w:t>
      </w:r>
    </w:p>
    <w:p w14:paraId="560B39B1">
      <w:pPr>
        <w:pStyle w:val="106"/>
      </w:pPr>
      <w:r>
        <w:rPr>
          <w:rFonts w:hint="eastAsia"/>
        </w:rPr>
        <w:t>食品添加剂</w:t>
      </w:r>
    </w:p>
    <w:p w14:paraId="14C01495">
      <w:pPr>
        <w:pStyle w:val="57"/>
        <w:ind w:left="0" w:leftChars="0" w:firstLine="420" w:firstLineChars="200"/>
      </w:pPr>
      <w:r>
        <w:rPr>
          <w:rFonts w:hint="eastAsia" w:hAnsi="宋体"/>
        </w:rPr>
        <w:t>调制牛肉饼的</w:t>
      </w:r>
      <w:r>
        <w:rPr>
          <w:rFonts w:hint="eastAsia"/>
        </w:rPr>
        <w:t>食品添加剂使用应符合GB 2760的规定。</w:t>
      </w:r>
    </w:p>
    <w:p w14:paraId="7EC209F2">
      <w:pPr>
        <w:pStyle w:val="106"/>
      </w:pPr>
      <w:r>
        <w:rPr>
          <w:rFonts w:hint="eastAsia"/>
        </w:rPr>
        <w:t>农兽药残留</w:t>
      </w:r>
    </w:p>
    <w:p w14:paraId="22B06FD7">
      <w:pPr>
        <w:pStyle w:val="57"/>
        <w:ind w:firstLine="420" w:firstLineChars="200"/>
        <w:rPr>
          <w:rFonts w:hint="eastAsia" w:eastAsia="宋体"/>
          <w:lang w:eastAsia="zh-CN"/>
        </w:rPr>
      </w:pPr>
      <w:r>
        <w:rPr>
          <w:rFonts w:hint="eastAsia"/>
        </w:rPr>
        <w:t>应符合GB 2763及有关标准和法律的规定</w:t>
      </w:r>
      <w:r>
        <w:rPr>
          <w:rFonts w:hint="eastAsia"/>
          <w:lang w:eastAsia="zh-CN"/>
        </w:rPr>
        <w:t>。</w:t>
      </w:r>
    </w:p>
    <w:p w14:paraId="5272770D">
      <w:pPr>
        <w:pStyle w:val="106"/>
      </w:pPr>
      <w:r>
        <w:rPr>
          <w:rFonts w:hint="eastAsia"/>
        </w:rPr>
        <w:t>净含量</w:t>
      </w:r>
    </w:p>
    <w:p w14:paraId="291911AD">
      <w:pPr>
        <w:pStyle w:val="165"/>
        <w:ind w:firstLine="420" w:firstLineChars="200"/>
        <w:rPr>
          <w:rFonts w:hint="default" w:eastAsia="宋体"/>
          <w:lang w:val="en-US" w:eastAsia="zh-CN"/>
        </w:rPr>
      </w:pPr>
      <w:r>
        <w:rPr>
          <w:rFonts w:hint="eastAsia"/>
        </w:rPr>
        <w:t>应符合</w:t>
      </w:r>
      <w:r>
        <w:rPr>
          <w:rFonts w:hint="eastAsia"/>
          <w:strike w:val="0"/>
          <w:color w:val="auto"/>
        </w:rPr>
        <w:t>《定量包装商品计量监督管理办法》和</w:t>
      </w:r>
      <w:r>
        <w:rPr>
          <w:rFonts w:hint="eastAsia"/>
        </w:rPr>
        <w:t xml:space="preserve"> JJF 1070 的规定。</w:t>
      </w:r>
    </w:p>
    <w:p w14:paraId="4E5EF28F">
      <w:pPr>
        <w:pStyle w:val="105"/>
      </w:pPr>
      <w:r>
        <w:rPr>
          <w:rFonts w:hint="eastAsia"/>
        </w:rPr>
        <w:t>生产加工过程中的卫生要求</w:t>
      </w:r>
    </w:p>
    <w:p w14:paraId="3C3BD461">
      <w:pPr>
        <w:pStyle w:val="165"/>
        <w:ind w:firstLine="420" w:firstLineChars="200"/>
      </w:pPr>
      <w:r>
        <w:rPr>
          <w:rFonts w:hint="eastAsia"/>
        </w:rPr>
        <w:t>应符合GB 14881和GB 31646 的规定。</w:t>
      </w:r>
    </w:p>
    <w:p w14:paraId="23DB2F11">
      <w:pPr>
        <w:pStyle w:val="57"/>
        <w:ind w:firstLine="0" w:firstLineChars="0"/>
        <w:jc w:val="left"/>
        <w:rPr>
          <w:color w:val="FFFFFF" w:themeColor="background1"/>
          <w14:textFill>
            <w14:solidFill>
              <w14:schemeClr w14:val="bg1"/>
            </w14:solidFill>
          </w14:textFill>
        </w:rPr>
      </w:pPr>
      <w:r>
        <w:rPr>
          <w:color w:val="FFFFFF" w:themeColor="background1"/>
          <w14:textFill>
            <w14:solidFill>
              <w14:schemeClr w14:val="bg1"/>
            </w14:solidFill>
          </w14:textFill>
        </w:rPr>
        <w:t>_________________________________</w:t>
      </w:r>
    </w:p>
    <w:p w14:paraId="10689CC7">
      <w:pPr>
        <w:pStyle w:val="105"/>
      </w:pPr>
      <w:r>
        <w:rPr>
          <w:rFonts w:hint="eastAsia"/>
        </w:rPr>
        <w:t>检验规则</w:t>
      </w:r>
    </w:p>
    <w:p w14:paraId="221E2182">
      <w:pPr>
        <w:pStyle w:val="106"/>
        <w:rPr>
          <w:color w:val="auto"/>
        </w:rPr>
      </w:pPr>
      <w:r>
        <w:rPr>
          <w:rFonts w:hint="eastAsia"/>
        </w:rPr>
        <w:t>组批和抽</w:t>
      </w:r>
      <w:r>
        <w:rPr>
          <w:rFonts w:hint="eastAsia"/>
          <w:color w:val="auto"/>
        </w:rPr>
        <w:t>样</w:t>
      </w:r>
    </w:p>
    <w:p w14:paraId="58D9C815">
      <w:pPr>
        <w:pStyle w:val="66"/>
        <w:rPr>
          <w:color w:val="auto"/>
        </w:rPr>
      </w:pPr>
      <w:r>
        <w:rPr>
          <w:rFonts w:hint="eastAsia"/>
          <w:color w:val="auto"/>
        </w:rPr>
        <w:t>组批</w:t>
      </w:r>
    </w:p>
    <w:p w14:paraId="5C0159D1">
      <w:pPr>
        <w:pStyle w:val="165"/>
        <w:ind w:firstLine="420" w:firstLineChars="200"/>
        <w:rPr>
          <w:color w:val="auto"/>
        </w:rPr>
      </w:pPr>
      <w:r>
        <w:rPr>
          <w:rFonts w:hint="eastAsia"/>
          <w:color w:val="auto"/>
          <w:lang w:val="en-US" w:eastAsia="zh-CN"/>
        </w:rPr>
        <w:t>同一生产日期、同一品种的产品为一批</w:t>
      </w:r>
      <w:r>
        <w:rPr>
          <w:rFonts w:hint="eastAsia"/>
          <w:color w:val="auto"/>
        </w:rPr>
        <w:t>。</w:t>
      </w:r>
    </w:p>
    <w:p w14:paraId="4E72AA01">
      <w:pPr>
        <w:pStyle w:val="66"/>
        <w:rPr>
          <w:color w:val="auto"/>
        </w:rPr>
      </w:pPr>
      <w:r>
        <w:rPr>
          <w:rFonts w:hint="eastAsia"/>
          <w:color w:val="auto"/>
        </w:rPr>
        <w:t>抽样</w:t>
      </w:r>
    </w:p>
    <w:p w14:paraId="14FD336E">
      <w:pPr>
        <w:pStyle w:val="165"/>
        <w:ind w:firstLine="420" w:firstLineChars="200"/>
        <w:rPr>
          <w:color w:val="auto"/>
        </w:rPr>
      </w:pPr>
      <w:r>
        <w:rPr>
          <w:rFonts w:hint="eastAsia"/>
          <w:color w:val="auto"/>
        </w:rPr>
        <w:t>按照GB/T 9695.19规定的方法取样，保证抽样数量满足检验项目及留样的需要。</w:t>
      </w:r>
    </w:p>
    <w:p w14:paraId="581E49B6">
      <w:pPr>
        <w:pStyle w:val="106"/>
        <w:rPr>
          <w:color w:val="auto"/>
        </w:rPr>
      </w:pPr>
      <w:r>
        <w:rPr>
          <w:rFonts w:hint="eastAsia"/>
          <w:color w:val="auto"/>
        </w:rPr>
        <w:t>出厂检验</w:t>
      </w:r>
    </w:p>
    <w:p w14:paraId="092C2B51">
      <w:pPr>
        <w:pStyle w:val="66"/>
        <w:rPr>
          <w:color w:val="auto"/>
        </w:rPr>
      </w:pPr>
      <w:r>
        <w:rPr>
          <w:rFonts w:hint="eastAsia"/>
          <w:color w:val="auto"/>
        </w:rPr>
        <w:t>纯牛肉饼</w:t>
      </w:r>
    </w:p>
    <w:p w14:paraId="5FE12BBE">
      <w:pPr>
        <w:pStyle w:val="165"/>
        <w:ind w:firstLine="420" w:firstLineChars="200"/>
        <w:rPr>
          <w:color w:val="auto"/>
        </w:rPr>
      </w:pPr>
      <w:r>
        <w:rPr>
          <w:rFonts w:hint="eastAsia"/>
          <w:color w:val="auto"/>
        </w:rPr>
        <w:t>出厂检验项目为： 感官要求、挥发性盐基氮、净含量的检验。</w:t>
      </w:r>
    </w:p>
    <w:p w14:paraId="0DD5BFD5">
      <w:pPr>
        <w:pStyle w:val="66"/>
        <w:rPr>
          <w:color w:val="auto"/>
        </w:rPr>
      </w:pPr>
      <w:r>
        <w:rPr>
          <w:rFonts w:hint="eastAsia"/>
          <w:color w:val="auto"/>
        </w:rPr>
        <w:t>调制牛肉饼</w:t>
      </w:r>
    </w:p>
    <w:p w14:paraId="2043E365">
      <w:pPr>
        <w:pStyle w:val="165"/>
        <w:ind w:firstLine="420" w:firstLineChars="200"/>
      </w:pPr>
      <w:r>
        <w:rPr>
          <w:rFonts w:hint="eastAsia"/>
          <w:color w:val="auto"/>
        </w:rPr>
        <w:t>出厂检验项目为： 感官要求、过氧化值、净含量的检验。</w:t>
      </w:r>
    </w:p>
    <w:p w14:paraId="42C34EFF">
      <w:pPr>
        <w:pStyle w:val="106"/>
      </w:pPr>
      <w:r>
        <w:rPr>
          <w:rFonts w:hint="eastAsia"/>
        </w:rPr>
        <w:t>型式检验</w:t>
      </w:r>
    </w:p>
    <w:p w14:paraId="3CB383DF">
      <w:pPr>
        <w:pStyle w:val="166"/>
        <w:rPr>
          <w:color w:val="auto"/>
        </w:rPr>
      </w:pPr>
      <w:r>
        <w:rPr>
          <w:rFonts w:hint="eastAsia"/>
        </w:rPr>
        <w:t>型式检验</w:t>
      </w:r>
      <w:r>
        <w:rPr>
          <w:rFonts w:hint="eastAsia"/>
          <w:color w:val="auto"/>
        </w:rPr>
        <w:t>项目包括本文件第7章规定的所有项目。</w:t>
      </w:r>
    </w:p>
    <w:p w14:paraId="110B153F">
      <w:pPr>
        <w:pStyle w:val="166"/>
        <w:rPr>
          <w:color w:val="auto"/>
        </w:rPr>
      </w:pPr>
      <w:r>
        <w:rPr>
          <w:rFonts w:hint="eastAsia"/>
          <w:color w:val="auto"/>
        </w:rPr>
        <w:t>每半年至少应对产品进行一次型式检验。</w:t>
      </w:r>
    </w:p>
    <w:p w14:paraId="62F854C2">
      <w:pPr>
        <w:pStyle w:val="166"/>
        <w:rPr>
          <w:color w:val="auto"/>
        </w:rPr>
      </w:pPr>
      <w:r>
        <w:rPr>
          <w:rFonts w:hint="eastAsia"/>
          <w:color w:val="auto"/>
        </w:rPr>
        <w:t>发生下列情况之一时也应进行型式检验：</w:t>
      </w:r>
    </w:p>
    <w:p w14:paraId="499346FD">
      <w:pPr>
        <w:pStyle w:val="165"/>
        <w:numPr>
          <w:ilvl w:val="0"/>
          <w:numId w:val="33"/>
        </w:numPr>
        <w:ind w:left="724" w:leftChars="0" w:hanging="304" w:firstLineChars="0"/>
        <w:rPr>
          <w:color w:val="auto"/>
        </w:rPr>
      </w:pPr>
      <w:r>
        <w:rPr>
          <w:rFonts w:hint="eastAsia"/>
          <w:color w:val="auto"/>
        </w:rPr>
        <w:t>正式生产和新产品试制鉴定时;</w:t>
      </w:r>
    </w:p>
    <w:p w14:paraId="2E5DA148">
      <w:pPr>
        <w:pStyle w:val="165"/>
        <w:numPr>
          <w:ilvl w:val="0"/>
          <w:numId w:val="33"/>
        </w:numPr>
        <w:ind w:left="724" w:leftChars="0" w:hanging="304" w:firstLineChars="0"/>
        <w:rPr>
          <w:color w:val="auto"/>
        </w:rPr>
      </w:pPr>
      <w:r>
        <w:rPr>
          <w:rFonts w:hint="eastAsia"/>
          <w:color w:val="auto"/>
        </w:rPr>
        <w:t>正式生产后，原料和工艺出现较大变化时;</w:t>
      </w:r>
    </w:p>
    <w:p w14:paraId="3C943006">
      <w:pPr>
        <w:pStyle w:val="165"/>
        <w:numPr>
          <w:ilvl w:val="0"/>
          <w:numId w:val="33"/>
        </w:numPr>
        <w:ind w:left="724" w:leftChars="0" w:hanging="304" w:firstLineChars="0"/>
      </w:pPr>
      <w:r>
        <w:rPr>
          <w:rFonts w:hint="eastAsia"/>
          <w:color w:val="auto"/>
        </w:rPr>
        <w:t>停产半年后恢复生</w:t>
      </w:r>
      <w:r>
        <w:rPr>
          <w:rFonts w:hint="eastAsia"/>
        </w:rPr>
        <w:t>产时;</w:t>
      </w:r>
    </w:p>
    <w:p w14:paraId="02476C4E">
      <w:pPr>
        <w:pStyle w:val="165"/>
        <w:numPr>
          <w:ilvl w:val="0"/>
          <w:numId w:val="33"/>
        </w:numPr>
        <w:ind w:left="724" w:leftChars="0" w:hanging="304" w:firstLineChars="0"/>
      </w:pPr>
      <w:r>
        <w:rPr>
          <w:rFonts w:hint="eastAsia"/>
        </w:rPr>
        <w:t>出厂检验结果与上次型式检验结果有较大差异时；</w:t>
      </w:r>
    </w:p>
    <w:p w14:paraId="3FBB921C">
      <w:pPr>
        <w:pStyle w:val="165"/>
        <w:numPr>
          <w:ilvl w:val="0"/>
          <w:numId w:val="33"/>
        </w:numPr>
        <w:ind w:left="724" w:leftChars="0" w:hanging="304" w:firstLineChars="0"/>
      </w:pPr>
      <w:r>
        <w:rPr>
          <w:rFonts w:hint="eastAsia"/>
        </w:rPr>
        <w:t>国家质量监督机构提出进行型式检验的要求时。</w:t>
      </w:r>
    </w:p>
    <w:p w14:paraId="07787DE0">
      <w:pPr>
        <w:pStyle w:val="106"/>
      </w:pPr>
      <w:r>
        <w:rPr>
          <w:rFonts w:hint="eastAsia"/>
        </w:rPr>
        <w:t>判定规则</w:t>
      </w:r>
    </w:p>
    <w:p w14:paraId="5942BCA0">
      <w:pPr>
        <w:pStyle w:val="66"/>
      </w:pPr>
      <w:r>
        <w:rPr>
          <w:rFonts w:hint="eastAsia"/>
        </w:rPr>
        <w:t>出厂检验</w:t>
      </w:r>
      <w:bookmarkStart w:id="50" w:name="OLE_LINK5"/>
      <w:r>
        <w:rPr>
          <w:rFonts w:hint="eastAsia"/>
        </w:rPr>
        <w:t>的判定和复检</w:t>
      </w:r>
      <w:bookmarkEnd w:id="50"/>
    </w:p>
    <w:p w14:paraId="597F1661">
      <w:pPr>
        <w:pStyle w:val="165"/>
      </w:pPr>
      <w:r>
        <w:rPr>
          <w:rFonts w:hint="eastAsia"/>
        </w:rPr>
        <w:t>9.</w:t>
      </w:r>
      <w:r>
        <w:t>4</w:t>
      </w:r>
      <w:r>
        <w:rPr>
          <w:rFonts w:hint="eastAsia"/>
        </w:rPr>
        <w:t>.</w:t>
      </w:r>
      <w:r>
        <w:t>1.1</w:t>
      </w:r>
      <w:r>
        <w:rPr>
          <w:rFonts w:hint="eastAsia"/>
        </w:rPr>
        <w:t xml:space="preserve"> 出厂检验</w:t>
      </w:r>
      <w:bookmarkStart w:id="51" w:name="OLE_LINK6"/>
      <w:r>
        <w:rPr>
          <w:rFonts w:hint="eastAsia"/>
        </w:rPr>
        <w:t>项目均符合本文件规定，则判定为合格品。</w:t>
      </w:r>
    </w:p>
    <w:bookmarkEnd w:id="51"/>
    <w:p w14:paraId="05B48E49">
      <w:pPr>
        <w:pStyle w:val="165"/>
      </w:pPr>
      <w:r>
        <w:rPr>
          <w:rFonts w:hint="eastAsia"/>
        </w:rPr>
        <w:t>9.</w:t>
      </w:r>
      <w:r>
        <w:t>4.</w:t>
      </w:r>
      <w:r>
        <w:rPr>
          <w:rFonts w:hint="eastAsia"/>
        </w:rPr>
        <w:t xml:space="preserve">1.2 </w:t>
      </w:r>
      <w:bookmarkStart w:id="52" w:name="OLE_LINK7"/>
      <w:r>
        <w:rPr>
          <w:rFonts w:hint="eastAsia"/>
        </w:rPr>
        <w:t>出厂检验项目中</w:t>
      </w:r>
      <w:bookmarkStart w:id="53" w:name="OLE_LINK4"/>
      <w:r>
        <w:rPr>
          <w:rFonts w:hint="eastAsia"/>
        </w:rPr>
        <w:t>有一项</w:t>
      </w:r>
      <w:bookmarkEnd w:id="53"/>
      <w:r>
        <w:rPr>
          <w:rFonts w:hint="eastAsia"/>
        </w:rPr>
        <w:t>不符合文件规定，可以加倍抽样复检，复检后仍有一项或一项以上不符合本文件规定的，则判定为不合格。</w:t>
      </w:r>
    </w:p>
    <w:bookmarkEnd w:id="52"/>
    <w:p w14:paraId="76488A6B">
      <w:pPr>
        <w:pStyle w:val="166"/>
      </w:pPr>
      <w:r>
        <w:rPr>
          <w:rFonts w:hint="eastAsia"/>
        </w:rPr>
        <w:t>型式检验的判定和复检</w:t>
      </w:r>
    </w:p>
    <w:p w14:paraId="523E9FBB">
      <w:pPr>
        <w:pStyle w:val="165"/>
      </w:pPr>
      <w:r>
        <w:rPr>
          <w:rFonts w:hint="eastAsia"/>
        </w:rPr>
        <w:t>9.</w:t>
      </w:r>
      <w:r>
        <w:t>4.</w:t>
      </w:r>
      <w:r>
        <w:rPr>
          <w:rFonts w:hint="eastAsia"/>
        </w:rPr>
        <w:t>2.1 型式检验项目均符合本文件规定，则判定为合格品。</w:t>
      </w:r>
    </w:p>
    <w:p w14:paraId="54A23959">
      <w:pPr>
        <w:pStyle w:val="165"/>
      </w:pPr>
      <w:r>
        <w:rPr>
          <w:rFonts w:hint="eastAsia"/>
        </w:rPr>
        <w:t>9.</w:t>
      </w:r>
      <w:r>
        <w:t>4.</w:t>
      </w:r>
      <w:r>
        <w:rPr>
          <w:rFonts w:hint="eastAsia"/>
        </w:rPr>
        <w:t>2.2 型式检验项目中不超过两项（含两项）不符合本文件规定的，进行加倍抽样复检，复检后仍有一项或一项以上不符合文件规定的，则判定为不合格。</w:t>
      </w:r>
    </w:p>
    <w:p w14:paraId="6928BE87">
      <w:pPr>
        <w:pStyle w:val="165"/>
      </w:pPr>
      <w:r>
        <w:rPr>
          <w:rFonts w:hint="eastAsia"/>
        </w:rPr>
        <w:t>9.</w:t>
      </w:r>
      <w:r>
        <w:t>4.</w:t>
      </w:r>
      <w:r>
        <w:rPr>
          <w:rFonts w:hint="eastAsia"/>
        </w:rPr>
        <w:t>2.3 超过两项不符合本文件规定的，则判定不合格。</w:t>
      </w:r>
    </w:p>
    <w:p w14:paraId="5A4F9303">
      <w:pPr>
        <w:pStyle w:val="105"/>
      </w:pPr>
      <w:r>
        <w:rPr>
          <w:rFonts w:hint="eastAsia"/>
        </w:rPr>
        <w:t>标签、标志、包装、运输、贮存和销售</w:t>
      </w:r>
    </w:p>
    <w:p w14:paraId="135DA00E">
      <w:pPr>
        <w:pStyle w:val="106"/>
      </w:pPr>
      <w:r>
        <w:rPr>
          <w:rFonts w:hint="eastAsia"/>
        </w:rPr>
        <w:t>标志、标签</w:t>
      </w:r>
    </w:p>
    <w:p w14:paraId="7588FE90">
      <w:pPr>
        <w:pStyle w:val="166"/>
      </w:pPr>
      <w:r>
        <w:rPr>
          <w:rFonts w:hint="eastAsia"/>
        </w:rPr>
        <w:t>产品运输包装贮运图示标志应符合 GB/T 191 及国家有关规定。</w:t>
      </w:r>
    </w:p>
    <w:p w14:paraId="629C401E">
      <w:pPr>
        <w:pStyle w:val="166"/>
      </w:pPr>
      <w:r>
        <w:rPr>
          <w:rFonts w:hint="eastAsia"/>
        </w:rPr>
        <w:t>预包装产品标签应符合GB 7718 和GB 28050的规定</w:t>
      </w:r>
      <w:r>
        <w:rPr>
          <w:rFonts w:hint="eastAsia"/>
          <w:lang w:eastAsia="zh-CN"/>
        </w:rPr>
        <w:t>，</w:t>
      </w:r>
      <w:r>
        <w:rPr>
          <w:rFonts w:hint="eastAsia"/>
        </w:rPr>
        <w:t>同时应按照</w:t>
      </w:r>
      <w:r>
        <w:rPr>
          <w:rFonts w:hint="eastAsia"/>
          <w:lang w:val="en-US" w:eastAsia="zh-CN"/>
        </w:rPr>
        <w:t>加工方式</w:t>
      </w:r>
      <w:r>
        <w:rPr>
          <w:rFonts w:hint="eastAsia"/>
        </w:rPr>
        <w:t>不同注明产品类别。</w:t>
      </w:r>
    </w:p>
    <w:p w14:paraId="225BBEEF">
      <w:pPr>
        <w:pStyle w:val="106"/>
      </w:pPr>
      <w:r>
        <w:rPr>
          <w:rFonts w:hint="eastAsia"/>
        </w:rPr>
        <w:t>包装</w:t>
      </w:r>
    </w:p>
    <w:p w14:paraId="7F658BC7">
      <w:pPr>
        <w:pStyle w:val="166"/>
        <w:numPr>
          <w:ilvl w:val="0"/>
          <w:numId w:val="0"/>
        </w:numPr>
        <w:ind w:firstLine="420" w:firstLineChars="200"/>
      </w:pPr>
      <w:r>
        <w:rPr>
          <w:rFonts w:hint="eastAsia"/>
        </w:rPr>
        <w:t>产品包装材料应符合相关标准和相关卫生标准的规定。</w:t>
      </w:r>
    </w:p>
    <w:p w14:paraId="41D09C54">
      <w:pPr>
        <w:pStyle w:val="106"/>
      </w:pPr>
      <w:r>
        <w:rPr>
          <w:rFonts w:hint="eastAsia"/>
        </w:rPr>
        <w:t>运输</w:t>
      </w:r>
    </w:p>
    <w:p w14:paraId="68BD141C">
      <w:pPr>
        <w:pStyle w:val="166"/>
      </w:pPr>
      <w:r>
        <w:rPr>
          <w:rFonts w:hint="eastAsia"/>
        </w:rPr>
        <w:t>运输工具应清洁卫生、无异味、无污染。</w:t>
      </w:r>
    </w:p>
    <w:p w14:paraId="5DF5F130">
      <w:pPr>
        <w:pStyle w:val="166"/>
      </w:pPr>
      <w:r>
        <w:rPr>
          <w:rFonts w:hint="eastAsia"/>
        </w:rPr>
        <w:t>运输过程中应防挤压、防雨、防潮、防晒，装卸时应轻搬、轻放。运输时不得与有毒、有异味、有腐蚀性、易污染的货物混装混运。</w:t>
      </w:r>
    </w:p>
    <w:p w14:paraId="6C71C617">
      <w:pPr>
        <w:pStyle w:val="166"/>
      </w:pPr>
      <w:r>
        <w:rPr>
          <w:rFonts w:hint="eastAsia"/>
        </w:rPr>
        <w:t>速冻产品运输过程中的运输车辆箱体温度应</w:t>
      </w:r>
      <w:r>
        <w:rPr>
          <w:rFonts w:hint="eastAsia"/>
          <w:lang w:val="en-US" w:eastAsia="zh-CN"/>
        </w:rPr>
        <w:t>低于</w:t>
      </w:r>
      <w:r>
        <w:rPr>
          <w:rFonts w:hint="eastAsia"/>
        </w:rPr>
        <w:t>-18℃。</w:t>
      </w:r>
    </w:p>
    <w:p w14:paraId="10418DB3">
      <w:pPr>
        <w:pStyle w:val="106"/>
      </w:pPr>
      <w:r>
        <w:rPr>
          <w:rFonts w:hint="eastAsia"/>
        </w:rPr>
        <w:t>贮存</w:t>
      </w:r>
    </w:p>
    <w:p w14:paraId="20D70093">
      <w:pPr>
        <w:pStyle w:val="166"/>
      </w:pPr>
      <w:r>
        <w:rPr>
          <w:rFonts w:hint="eastAsia"/>
        </w:rPr>
        <w:t>产品贮存应离地、离墙，不得与有毒、有害、有异味、有腐蚀性的物品同处贮存。</w:t>
      </w:r>
    </w:p>
    <w:p w14:paraId="6FD67268">
      <w:pPr>
        <w:pStyle w:val="166"/>
      </w:pPr>
      <w:r>
        <w:rPr>
          <w:rFonts w:hint="eastAsia"/>
        </w:rPr>
        <w:t>速冻产品储存环境温度应</w:t>
      </w:r>
      <w:r>
        <w:rPr>
          <w:rFonts w:hint="eastAsia"/>
          <w:lang w:val="en-US" w:eastAsia="zh-CN"/>
        </w:rPr>
        <w:t>低于</w:t>
      </w:r>
      <w:r>
        <w:rPr>
          <w:rFonts w:hint="eastAsia"/>
        </w:rPr>
        <w:t>-18℃。</w:t>
      </w:r>
    </w:p>
    <w:p w14:paraId="4B6F8540">
      <w:pPr>
        <w:pStyle w:val="106"/>
      </w:pPr>
      <w:r>
        <w:rPr>
          <w:rFonts w:hint="eastAsia"/>
        </w:rPr>
        <w:t>销售</w:t>
      </w:r>
    </w:p>
    <w:p w14:paraId="377D436F">
      <w:pPr>
        <w:pStyle w:val="165"/>
        <w:ind w:firstLine="420" w:firstLineChars="200"/>
      </w:pPr>
      <w:r>
        <w:rPr>
          <w:rFonts w:hint="eastAsia"/>
        </w:rPr>
        <w:t>产品的销售应符合G</w:t>
      </w:r>
      <w:r>
        <w:t xml:space="preserve">B 31621 </w:t>
      </w:r>
      <w:r>
        <w:rPr>
          <w:rFonts w:hint="eastAsia"/>
        </w:rPr>
        <w:t xml:space="preserve">和 </w:t>
      </w:r>
      <w:r>
        <w:t>GB 31646</w:t>
      </w:r>
      <w:r>
        <w:rPr>
          <w:rFonts w:hint="eastAsia"/>
        </w:rPr>
        <w:t>的规定。</w:t>
      </w:r>
    </w:p>
    <w:p w14:paraId="2B12C566">
      <w:pPr>
        <w:pStyle w:val="165"/>
        <w:sectPr>
          <w:headerReference r:id="rId13" w:type="default"/>
          <w:footerReference r:id="rId14" w:type="default"/>
          <w:pgSz w:w="11906" w:h="16838"/>
          <w:pgMar w:top="2410" w:right="1134" w:bottom="1134" w:left="1134" w:header="1418" w:footer="1134" w:gutter="284"/>
          <w:pgNumType w:start="1"/>
          <w:cols w:space="425" w:num="1"/>
          <w:formProt w:val="0"/>
          <w:docGrid w:linePitch="312" w:charSpace="0"/>
        </w:sectPr>
      </w:pPr>
    </w:p>
    <w:bookmarkEnd w:id="20"/>
    <w:p w14:paraId="7BA98AEB">
      <w:pPr>
        <w:pStyle w:val="199"/>
        <w:rPr>
          <w:vanish w:val="0"/>
        </w:rPr>
      </w:pPr>
      <w:bookmarkStart w:id="54" w:name="BookMark5"/>
    </w:p>
    <w:p w14:paraId="1230795F">
      <w:pPr>
        <w:pStyle w:val="200"/>
        <w:rPr>
          <w:vanish w:val="0"/>
        </w:rPr>
      </w:pPr>
    </w:p>
    <w:p w14:paraId="1C4F92DC">
      <w:pPr>
        <w:pStyle w:val="77"/>
        <w:spacing w:before="60" w:after="120"/>
        <w:rPr>
          <w:rFonts w:hint="eastAsia"/>
        </w:rPr>
      </w:pPr>
    </w:p>
    <w:p w14:paraId="20D85904">
      <w:pPr>
        <w:pStyle w:val="77"/>
        <w:numPr>
          <w:ilvl w:val="0"/>
          <w:numId w:val="0"/>
        </w:numPr>
        <w:spacing w:before="60" w:after="120"/>
        <w:ind w:leftChars="0"/>
        <w:jc w:val="center"/>
        <w:rPr>
          <w:rFonts w:hint="eastAsia"/>
          <w:color w:val="auto"/>
        </w:rPr>
      </w:pPr>
      <w:r>
        <w:rPr>
          <w:rFonts w:hint="eastAsia"/>
          <w:color w:val="auto"/>
        </w:rPr>
        <w:t>（规范性）</w:t>
      </w:r>
    </w:p>
    <w:p w14:paraId="2E46953F">
      <w:pPr>
        <w:pStyle w:val="77"/>
        <w:numPr>
          <w:ilvl w:val="0"/>
          <w:numId w:val="0"/>
        </w:numPr>
        <w:spacing w:before="60" w:after="120"/>
        <w:ind w:leftChars="0"/>
        <w:jc w:val="center"/>
        <w:rPr>
          <w:rFonts w:hint="default" w:eastAsia="黑体"/>
          <w:color w:val="auto"/>
          <w:lang w:val="en-US" w:eastAsia="zh-CN"/>
        </w:rPr>
      </w:pPr>
      <w:r>
        <w:rPr>
          <w:rFonts w:hint="eastAsia"/>
          <w:color w:val="auto"/>
          <w:lang w:val="en-US" w:eastAsia="zh-CN"/>
        </w:rPr>
        <w:t>主料</w:t>
      </w:r>
      <w:r>
        <w:rPr>
          <w:rFonts w:hint="eastAsia" w:ascii="宋体" w:hAnsi="Times New Roman"/>
          <w:color w:val="auto"/>
          <w:kern w:val="0"/>
          <w:szCs w:val="20"/>
          <w:lang w:val="en-US" w:eastAsia="zh-CN"/>
        </w:rPr>
        <w:t>在终产品净含量中质量分数</w:t>
      </w:r>
      <w:r>
        <w:rPr>
          <w:rFonts w:hint="eastAsia" w:ascii="宋体"/>
          <w:color w:val="auto"/>
          <w:kern w:val="0"/>
          <w:szCs w:val="20"/>
          <w:lang w:val="en-US" w:eastAsia="zh-CN"/>
        </w:rPr>
        <w:t>的计算方法</w:t>
      </w:r>
    </w:p>
    <w:p w14:paraId="47626865">
      <w:pPr>
        <w:pStyle w:val="57"/>
        <w:ind w:firstLine="420"/>
        <w:rPr>
          <w:color w:val="auto"/>
        </w:rPr>
      </w:pPr>
    </w:p>
    <w:p w14:paraId="084A40FA">
      <w:pPr>
        <w:widowControl/>
        <w:autoSpaceDE w:val="0"/>
        <w:autoSpaceDN w:val="0"/>
        <w:adjustRightInd/>
        <w:spacing w:line="240" w:lineRule="auto"/>
        <w:ind w:firstLine="420" w:firstLineChars="200"/>
        <w:rPr>
          <w:rFonts w:hint="eastAsia" w:ascii="宋体" w:hAnsi="宋体" w:eastAsia="宋体" w:cs="宋体"/>
          <w:color w:val="auto"/>
          <w:kern w:val="0"/>
          <w:lang w:eastAsia="zh-CN"/>
        </w:rPr>
      </w:pPr>
      <w:r>
        <w:rPr>
          <w:rFonts w:hint="eastAsia" w:ascii="宋体" w:hAnsi="宋体" w:cs="宋体"/>
          <w:color w:val="auto"/>
          <w:kern w:val="0"/>
          <w:lang w:val="en-US" w:eastAsia="zh-CN"/>
        </w:rPr>
        <w:t>产品主料</w:t>
      </w:r>
      <w:r>
        <w:rPr>
          <w:rFonts w:hint="eastAsia" w:ascii="宋体" w:hAnsi="Times New Roman"/>
          <w:color w:val="auto"/>
          <w:kern w:val="0"/>
          <w:szCs w:val="20"/>
          <w:lang w:val="en-US" w:eastAsia="zh-CN"/>
        </w:rPr>
        <w:t>在终产品净含量中的质量分数</w:t>
      </w:r>
      <w:r>
        <w:rPr>
          <w:rFonts w:hint="eastAsia" w:ascii="宋体" w:hAnsi="宋体" w:cs="宋体"/>
          <w:color w:val="auto"/>
          <w:kern w:val="0"/>
          <w:lang w:eastAsia="zh-CN"/>
        </w:rPr>
        <w:t>，</w:t>
      </w:r>
      <w:r>
        <w:rPr>
          <w:rFonts w:hint="eastAsia" w:ascii="宋体" w:hAnsi="宋体" w:cs="宋体"/>
          <w:color w:val="auto"/>
          <w:kern w:val="0"/>
        </w:rPr>
        <w:t>按式（A.1）计算</w:t>
      </w:r>
      <w:r>
        <w:rPr>
          <w:rFonts w:hint="eastAsia" w:ascii="宋体" w:hAnsi="宋体" w:cs="宋体"/>
          <w:color w:val="auto"/>
          <w:kern w:val="0"/>
          <w:lang w:eastAsia="zh-CN"/>
        </w:rPr>
        <w:t>：</w:t>
      </w:r>
    </w:p>
    <w:p w14:paraId="469BA1D0">
      <w:pPr>
        <w:widowControl/>
        <w:autoSpaceDE w:val="0"/>
        <w:autoSpaceDN w:val="0"/>
        <w:adjustRightInd/>
        <w:spacing w:line="240" w:lineRule="auto"/>
        <w:ind w:firstLine="3570" w:firstLineChars="1700"/>
        <w:rPr>
          <w:rFonts w:ascii="宋体" w:hAnsi="宋体" w:cs="宋体"/>
          <w:color w:val="auto"/>
          <w:kern w:val="0"/>
        </w:rPr>
      </w:pPr>
      <w:r>
        <w:rPr>
          <w:rFonts w:hint="eastAsia" w:ascii="宋体" w:hAnsi="Times New Roman"/>
          <w:color w:val="auto"/>
          <w:kern w:val="0"/>
          <w:position w:val="-24"/>
          <w:szCs w:val="20"/>
        </w:rPr>
        <w:object>
          <v:shape id="_x0000_i1025" o:spt="75" type="#_x0000_t75" style="height:31.3pt;width:65pt;" o:ole="t" filled="f" o:preferrelative="t" stroked="f" coordsize="21600,21600">
            <v:path/>
            <v:fill on="f" focussize="0,0"/>
            <v:stroke on="f"/>
            <v:imagedata r:id="rId19" o:title=""/>
            <o:lock v:ext="edit" aspectratio="t"/>
            <w10:wrap type="none"/>
            <w10:anchorlock/>
          </v:shape>
          <o:OLEObject Type="Embed" ProgID="Equation.KSEE3" ShapeID="_x0000_i1025" DrawAspect="Content" ObjectID="_1468075725" r:id="rId18">
            <o:LockedField>false</o:LockedField>
          </o:OLEObject>
        </w:object>
      </w:r>
      <w:r>
        <w:rPr>
          <w:rFonts w:hint="eastAsia" w:ascii="宋体" w:hAnsi="Times New Roman"/>
          <w:color w:val="auto"/>
          <w:kern w:val="0"/>
          <w:szCs w:val="20"/>
        </w:rPr>
        <w:t xml:space="preserve">  ……………………………………………（A.1）</w:t>
      </w:r>
    </w:p>
    <w:p w14:paraId="2B3F89F5">
      <w:pPr>
        <w:widowControl/>
        <w:autoSpaceDE w:val="0"/>
        <w:autoSpaceDN w:val="0"/>
        <w:adjustRightInd/>
        <w:spacing w:line="240" w:lineRule="auto"/>
        <w:ind w:firstLine="420" w:firstLineChars="200"/>
        <w:rPr>
          <w:rFonts w:ascii="宋体" w:hAnsi="Times New Roman"/>
          <w:color w:val="auto"/>
          <w:kern w:val="0"/>
          <w:szCs w:val="20"/>
        </w:rPr>
      </w:pPr>
      <w:r>
        <w:rPr>
          <w:rFonts w:hint="eastAsia" w:ascii="宋体" w:hAnsi="Times New Roman"/>
          <w:color w:val="auto"/>
          <w:kern w:val="0"/>
          <w:szCs w:val="20"/>
        </w:rPr>
        <w:t>式中：</w:t>
      </w:r>
    </w:p>
    <w:p w14:paraId="7256468E">
      <w:pPr>
        <w:widowControl/>
        <w:autoSpaceDE w:val="0"/>
        <w:autoSpaceDN w:val="0"/>
        <w:adjustRightInd/>
        <w:spacing w:line="240" w:lineRule="auto"/>
        <w:ind w:firstLine="420" w:firstLineChars="200"/>
        <w:rPr>
          <w:rFonts w:ascii="宋体" w:hAnsi="Times New Roman"/>
          <w:color w:val="auto"/>
          <w:kern w:val="0"/>
          <w:szCs w:val="20"/>
        </w:rPr>
      </w:pPr>
      <w:r>
        <w:rPr>
          <w:rFonts w:hint="eastAsia" w:ascii="宋体" w:hAnsi="Times New Roman"/>
          <w:i/>
          <w:iCs/>
          <w:color w:val="auto"/>
          <w:kern w:val="0"/>
          <w:szCs w:val="20"/>
        </w:rPr>
        <w:t>C</w:t>
      </w:r>
      <w:r>
        <w:rPr>
          <w:rFonts w:hint="eastAsia" w:ascii="宋体" w:hAnsi="Times New Roman"/>
          <w:i/>
          <w:iCs/>
          <w:color w:val="auto"/>
          <w:kern w:val="0"/>
          <w:szCs w:val="20"/>
          <w:vertAlign w:val="subscript"/>
          <w:lang w:val="en-US" w:eastAsia="zh-CN"/>
        </w:rPr>
        <w:t>i</w:t>
      </w:r>
      <w:r>
        <w:rPr>
          <w:rFonts w:hint="eastAsia" w:ascii="宋体" w:hAnsi="Times New Roman"/>
          <w:color w:val="auto"/>
          <w:kern w:val="0"/>
          <w:szCs w:val="20"/>
        </w:rPr>
        <w:t>——</w:t>
      </w:r>
      <w:r>
        <w:rPr>
          <w:rFonts w:hint="eastAsia" w:ascii="宋体" w:hAnsi="Times New Roman"/>
          <w:color w:val="auto"/>
          <w:kern w:val="0"/>
          <w:szCs w:val="20"/>
          <w:lang w:val="en-US" w:eastAsia="zh-CN"/>
        </w:rPr>
        <w:t>主料i在终产品净含量中的质量分数</w:t>
      </w:r>
      <w:r>
        <w:rPr>
          <w:rFonts w:hint="eastAsia" w:ascii="宋体" w:hAnsi="Times New Roman"/>
          <w:color w:val="auto"/>
          <w:kern w:val="0"/>
          <w:szCs w:val="20"/>
        </w:rPr>
        <w:t>，</w:t>
      </w:r>
      <w:r>
        <w:rPr>
          <w:rFonts w:hint="eastAsia" w:ascii="宋体" w:hAnsi="Times New Roman"/>
          <w:color w:val="auto"/>
          <w:kern w:val="0"/>
          <w:szCs w:val="20"/>
          <w:lang w:val="en-US" w:eastAsia="zh-CN"/>
        </w:rPr>
        <w:t>单位为百分率（</w:t>
      </w:r>
      <w:r>
        <w:rPr>
          <w:rFonts w:hint="eastAsia" w:ascii="宋体" w:hAnsi="Times New Roman"/>
          <w:color w:val="auto"/>
          <w:kern w:val="0"/>
          <w:szCs w:val="20"/>
        </w:rPr>
        <w:t>%</w:t>
      </w:r>
      <w:r>
        <w:rPr>
          <w:rFonts w:hint="eastAsia" w:ascii="宋体" w:hAnsi="Times New Roman"/>
          <w:color w:val="auto"/>
          <w:kern w:val="0"/>
          <w:szCs w:val="20"/>
          <w:lang w:val="en-US" w:eastAsia="zh-CN"/>
        </w:rPr>
        <w:t>）</w:t>
      </w:r>
      <w:r>
        <w:rPr>
          <w:rFonts w:hint="eastAsia" w:ascii="宋体" w:hAnsi="Times New Roman"/>
          <w:color w:val="auto"/>
          <w:kern w:val="0"/>
          <w:szCs w:val="20"/>
        </w:rPr>
        <w:t>；</w:t>
      </w:r>
    </w:p>
    <w:p w14:paraId="5DDA7FE3">
      <w:pPr>
        <w:widowControl/>
        <w:autoSpaceDE w:val="0"/>
        <w:autoSpaceDN w:val="0"/>
        <w:adjustRightInd/>
        <w:spacing w:line="240" w:lineRule="auto"/>
        <w:ind w:firstLine="420" w:firstLineChars="200"/>
        <w:rPr>
          <w:rFonts w:ascii="宋体" w:hAnsi="Times New Roman"/>
          <w:color w:val="auto"/>
          <w:kern w:val="0"/>
          <w:szCs w:val="20"/>
        </w:rPr>
      </w:pPr>
      <w:bookmarkStart w:id="55" w:name="OLE_LINK13"/>
      <w:r>
        <w:rPr>
          <w:rFonts w:hint="eastAsia" w:ascii="宋体" w:hAnsi="Times New Roman"/>
          <w:i/>
          <w:iCs/>
          <w:color w:val="auto"/>
          <w:kern w:val="0"/>
          <w:szCs w:val="20"/>
          <w:lang w:val="en-US" w:eastAsia="zh-CN"/>
        </w:rPr>
        <w:t>m</w:t>
      </w:r>
      <w:bookmarkEnd w:id="55"/>
      <w:r>
        <w:rPr>
          <w:rFonts w:hint="eastAsia" w:ascii="宋体" w:hAnsi="Times New Roman"/>
          <w:i/>
          <w:iCs/>
          <w:color w:val="auto"/>
          <w:kern w:val="0"/>
          <w:szCs w:val="20"/>
          <w:vertAlign w:val="subscript"/>
          <w:lang w:val="en-US" w:eastAsia="zh-CN"/>
        </w:rPr>
        <w:t>i</w:t>
      </w:r>
      <w:r>
        <w:rPr>
          <w:rFonts w:hint="eastAsia" w:ascii="宋体" w:hAnsi="Times New Roman"/>
          <w:color w:val="auto"/>
          <w:kern w:val="0"/>
          <w:szCs w:val="20"/>
        </w:rPr>
        <w:t>——</w:t>
      </w:r>
      <w:r>
        <w:rPr>
          <w:rFonts w:hint="eastAsia" w:ascii="宋体" w:hAnsi="Times New Roman"/>
          <w:strike w:val="0"/>
          <w:dstrike w:val="0"/>
          <w:color w:val="auto"/>
          <w:kern w:val="0"/>
          <w:szCs w:val="20"/>
          <w:lang w:val="en-US" w:eastAsia="zh-CN"/>
        </w:rPr>
        <w:t>产品</w:t>
      </w:r>
      <w:r>
        <w:rPr>
          <w:rFonts w:hint="eastAsia" w:ascii="宋体" w:hAnsi="Times New Roman"/>
          <w:color w:val="auto"/>
          <w:kern w:val="0"/>
          <w:szCs w:val="20"/>
        </w:rPr>
        <w:t>配方</w:t>
      </w:r>
      <w:r>
        <w:rPr>
          <w:rFonts w:hint="eastAsia" w:ascii="宋体" w:hAnsi="Times New Roman"/>
          <w:color w:val="auto"/>
          <w:kern w:val="0"/>
          <w:szCs w:val="20"/>
          <w:lang w:val="en-US" w:eastAsia="zh-CN"/>
        </w:rPr>
        <w:t>中主料i的质</w:t>
      </w:r>
      <w:r>
        <w:rPr>
          <w:rFonts w:hint="eastAsia" w:ascii="宋体" w:hAnsi="Times New Roman"/>
          <w:color w:val="auto"/>
          <w:kern w:val="0"/>
          <w:szCs w:val="20"/>
        </w:rPr>
        <w:t>量，单位为克（g）；</w:t>
      </w:r>
    </w:p>
    <w:p w14:paraId="03A52172">
      <w:pPr>
        <w:widowControl/>
        <w:autoSpaceDE w:val="0"/>
        <w:autoSpaceDN w:val="0"/>
        <w:adjustRightInd/>
        <w:spacing w:line="240" w:lineRule="auto"/>
        <w:ind w:firstLine="420" w:firstLineChars="200"/>
        <w:rPr>
          <w:rFonts w:hint="eastAsia" w:ascii="宋体" w:hAnsi="Times New Roman"/>
          <w:color w:val="auto"/>
          <w:kern w:val="0"/>
          <w:szCs w:val="20"/>
          <w:lang w:eastAsia="zh-CN"/>
        </w:rPr>
      </w:pPr>
      <w:bookmarkStart w:id="56" w:name="OLE_LINK12"/>
      <w:r>
        <w:rPr>
          <w:rFonts w:hint="eastAsia" w:ascii="宋体" w:hAnsi="Times New Roman"/>
          <w:i/>
          <w:iCs/>
          <w:color w:val="auto"/>
          <w:kern w:val="0"/>
          <w:szCs w:val="20"/>
          <w:lang w:val="en-US" w:eastAsia="zh-CN"/>
        </w:rPr>
        <w:t>m</w:t>
      </w:r>
      <w:r>
        <w:rPr>
          <w:rFonts w:hint="eastAsia" w:ascii="宋体" w:hAnsi="Times New Roman"/>
          <w:i/>
          <w:iCs/>
          <w:color w:val="auto"/>
          <w:kern w:val="0"/>
          <w:szCs w:val="20"/>
          <w:vertAlign w:val="subscript"/>
          <w:lang w:val="en-US" w:eastAsia="zh-CN"/>
        </w:rPr>
        <w:t>t</w:t>
      </w:r>
      <w:r>
        <w:rPr>
          <w:rFonts w:hint="eastAsia" w:ascii="宋体" w:hAnsi="Times New Roman"/>
          <w:color w:val="auto"/>
          <w:kern w:val="0"/>
          <w:szCs w:val="20"/>
        </w:rPr>
        <w:t>——</w:t>
      </w:r>
      <w:bookmarkEnd w:id="56"/>
      <w:r>
        <w:rPr>
          <w:rFonts w:hint="eastAsia" w:ascii="宋体" w:hAnsi="Times New Roman"/>
          <w:strike w:val="0"/>
          <w:dstrike w:val="0"/>
          <w:color w:val="auto"/>
          <w:kern w:val="0"/>
          <w:szCs w:val="20"/>
          <w:lang w:val="en-US" w:eastAsia="zh-CN"/>
        </w:rPr>
        <w:t>产品</w:t>
      </w:r>
      <w:r>
        <w:rPr>
          <w:rFonts w:hint="eastAsia" w:ascii="宋体" w:hAnsi="Times New Roman"/>
          <w:color w:val="auto"/>
          <w:kern w:val="0"/>
          <w:szCs w:val="20"/>
        </w:rPr>
        <w:t>配方</w:t>
      </w:r>
      <w:r>
        <w:rPr>
          <w:rFonts w:hint="eastAsia" w:ascii="宋体" w:hAnsi="Times New Roman"/>
          <w:color w:val="auto"/>
          <w:kern w:val="0"/>
          <w:szCs w:val="20"/>
          <w:lang w:val="en-US" w:eastAsia="zh-CN"/>
        </w:rPr>
        <w:t>的总质</w:t>
      </w:r>
      <w:r>
        <w:rPr>
          <w:rFonts w:hint="eastAsia" w:ascii="宋体" w:hAnsi="Times New Roman"/>
          <w:color w:val="auto"/>
          <w:kern w:val="0"/>
          <w:szCs w:val="20"/>
        </w:rPr>
        <w:t>量，单位为克（g）</w:t>
      </w:r>
      <w:r>
        <w:rPr>
          <w:rFonts w:hint="eastAsia" w:ascii="宋体" w:hAnsi="Times New Roman"/>
          <w:color w:val="auto"/>
          <w:kern w:val="0"/>
          <w:szCs w:val="20"/>
          <w:lang w:eastAsia="zh-CN"/>
        </w:rPr>
        <w:t>；</w:t>
      </w:r>
    </w:p>
    <w:p w14:paraId="613086AC">
      <w:pPr>
        <w:widowControl/>
        <w:autoSpaceDE w:val="0"/>
        <w:autoSpaceDN w:val="0"/>
        <w:adjustRightInd/>
        <w:spacing w:line="240" w:lineRule="auto"/>
        <w:ind w:firstLine="420" w:firstLineChars="200"/>
        <w:rPr>
          <w:rFonts w:hint="eastAsia" w:ascii="宋体" w:hAnsi="Times New Roman"/>
          <w:color w:val="auto"/>
          <w:kern w:val="0"/>
          <w:szCs w:val="20"/>
          <w:lang w:val="en-US" w:eastAsia="zh-CN"/>
        </w:rPr>
      </w:pPr>
      <w:r>
        <w:rPr>
          <w:rFonts w:hint="eastAsia" w:ascii="宋体" w:hAnsi="Times New Roman"/>
          <w:color w:val="auto"/>
          <w:kern w:val="0"/>
          <w:szCs w:val="20"/>
          <w:lang w:val="en-US" w:eastAsia="zh-CN"/>
        </w:rPr>
        <w:t>100</w:t>
      </w:r>
      <w:r>
        <w:rPr>
          <w:rFonts w:hint="eastAsia" w:ascii="宋体" w:hAnsi="Times New Roman"/>
          <w:color w:val="auto"/>
          <w:kern w:val="0"/>
          <w:szCs w:val="20"/>
        </w:rPr>
        <w:t>——</w:t>
      </w:r>
      <w:r>
        <w:rPr>
          <w:rFonts w:hint="eastAsia" w:ascii="宋体" w:hAnsi="Times New Roman"/>
          <w:color w:val="auto"/>
          <w:kern w:val="0"/>
          <w:szCs w:val="20"/>
          <w:lang w:val="en-US" w:eastAsia="zh-CN"/>
        </w:rPr>
        <w:t>单位换算系数。</w:t>
      </w:r>
    </w:p>
    <w:p w14:paraId="5F29C9C4">
      <w:pPr>
        <w:widowControl/>
        <w:autoSpaceDE w:val="0"/>
        <w:autoSpaceDN w:val="0"/>
        <w:adjustRightInd/>
        <w:spacing w:line="240" w:lineRule="auto"/>
        <w:ind w:firstLine="420" w:firstLineChars="200"/>
        <w:rPr>
          <w:rFonts w:hint="default" w:ascii="宋体" w:hAnsi="Times New Roman"/>
          <w:color w:val="auto"/>
          <w:kern w:val="0"/>
          <w:szCs w:val="20"/>
          <w:lang w:val="en-US" w:eastAsia="zh-CN"/>
        </w:rPr>
      </w:pPr>
      <w:r>
        <w:rPr>
          <w:rFonts w:hint="eastAsia" w:ascii="宋体" w:hAnsi="Times New Roman"/>
          <w:color w:val="auto"/>
          <w:kern w:val="0"/>
          <w:szCs w:val="20"/>
          <w:lang w:val="en-US" w:eastAsia="zh-CN"/>
        </w:rPr>
        <w:t>计算结果精确至0.1%。</w:t>
      </w:r>
    </w:p>
    <w:p w14:paraId="06D0E6B2">
      <w:pPr>
        <w:widowControl/>
        <w:autoSpaceDE w:val="0"/>
        <w:autoSpaceDN w:val="0"/>
        <w:adjustRightInd/>
        <w:spacing w:line="240" w:lineRule="auto"/>
        <w:ind w:firstLine="420" w:firstLineChars="200"/>
        <w:rPr>
          <w:rFonts w:ascii="宋体" w:hAnsi="Times New Roman"/>
          <w:kern w:val="0"/>
          <w:sz w:val="21"/>
          <w:szCs w:val="20"/>
        </w:rPr>
      </w:pPr>
      <w:r>
        <w:rPr>
          <w:rFonts w:hint="eastAsia" w:ascii="宋体" w:hAnsi="Times New Roman"/>
          <w:kern w:val="0"/>
          <w:sz w:val="21"/>
          <w:szCs w:val="20"/>
        </w:rPr>
        <w:t>注：</w:t>
      </w:r>
      <w:r>
        <w:rPr>
          <w:rFonts w:hint="eastAsia" w:ascii="宋体" w:hAnsi="Times New Roman"/>
          <w:i/>
          <w:iCs/>
          <w:kern w:val="0"/>
          <w:szCs w:val="20"/>
          <w:lang w:val="en-US" w:eastAsia="zh-CN"/>
        </w:rPr>
        <w:t>m</w:t>
      </w:r>
      <w:r>
        <w:rPr>
          <w:rFonts w:hint="eastAsia" w:ascii="宋体" w:hAnsi="Times New Roman"/>
          <w:i/>
          <w:iCs/>
          <w:kern w:val="0"/>
          <w:szCs w:val="20"/>
          <w:vertAlign w:val="subscript"/>
          <w:lang w:val="en-US" w:eastAsia="zh-CN"/>
        </w:rPr>
        <w:t xml:space="preserve">i </w:t>
      </w:r>
      <w:r>
        <w:rPr>
          <w:rFonts w:hint="eastAsia" w:ascii="宋体" w:hAnsi="Times New Roman"/>
          <w:kern w:val="0"/>
          <w:sz w:val="21"/>
          <w:szCs w:val="20"/>
        </w:rPr>
        <w:t>和</w:t>
      </w:r>
      <w:r>
        <w:rPr>
          <w:rFonts w:hint="eastAsia" w:ascii="宋体" w:hAnsi="Times New Roman"/>
          <w:i/>
          <w:iCs/>
          <w:kern w:val="0"/>
          <w:szCs w:val="20"/>
          <w:lang w:val="en-US" w:eastAsia="zh-CN"/>
        </w:rPr>
        <w:t>m</w:t>
      </w:r>
      <w:r>
        <w:rPr>
          <w:rFonts w:hint="eastAsia" w:ascii="宋体" w:hAnsi="Times New Roman"/>
          <w:i/>
          <w:iCs/>
          <w:kern w:val="0"/>
          <w:szCs w:val="20"/>
          <w:vertAlign w:val="subscript"/>
          <w:lang w:val="en-US" w:eastAsia="zh-CN"/>
        </w:rPr>
        <w:t xml:space="preserve">t </w:t>
      </w:r>
      <w:r>
        <w:rPr>
          <w:rFonts w:hint="eastAsia" w:ascii="宋体" w:hAnsi="Times New Roman"/>
          <w:kern w:val="0"/>
          <w:sz w:val="21"/>
          <w:szCs w:val="20"/>
          <w:lang w:val="en-US" w:eastAsia="zh-CN"/>
        </w:rPr>
        <w:t>为查阅</w:t>
      </w:r>
      <w:r>
        <w:rPr>
          <w:rFonts w:hint="eastAsia" w:ascii="宋体" w:hAnsi="Times New Roman"/>
          <w:kern w:val="0"/>
          <w:sz w:val="21"/>
          <w:szCs w:val="20"/>
        </w:rPr>
        <w:t>产品配方</w:t>
      </w:r>
      <w:r>
        <w:rPr>
          <w:rFonts w:hint="eastAsia" w:ascii="宋体" w:hAnsi="Times New Roman"/>
          <w:kern w:val="0"/>
          <w:sz w:val="21"/>
          <w:szCs w:val="20"/>
          <w:lang w:val="en-US" w:eastAsia="zh-CN"/>
        </w:rPr>
        <w:t>所得</w:t>
      </w:r>
      <w:r>
        <w:rPr>
          <w:rFonts w:hint="eastAsia" w:ascii="宋体" w:hAnsi="Times New Roman"/>
          <w:kern w:val="0"/>
          <w:sz w:val="21"/>
          <w:szCs w:val="20"/>
        </w:rPr>
        <w:t>。</w:t>
      </w:r>
    </w:p>
    <w:p w14:paraId="5B326B73">
      <w:pPr>
        <w:pStyle w:val="57"/>
        <w:ind w:firstLine="420"/>
      </w:pPr>
    </w:p>
    <w:p w14:paraId="6C0A915D">
      <w:pPr>
        <w:pStyle w:val="57"/>
        <w:ind w:firstLine="420"/>
      </w:pPr>
    </w:p>
    <w:bookmarkEnd w:id="54"/>
    <w:p w14:paraId="2FA5B1AB">
      <w:pPr>
        <w:pStyle w:val="57"/>
        <w:ind w:firstLine="0" w:firstLineChars="0"/>
        <w:jc w:val="center"/>
      </w:pPr>
      <w:bookmarkStart w:id="57" w:name="BookMark8"/>
      <w:r>
        <w:drawing>
          <wp:inline distT="0" distB="0" distL="0" distR="0">
            <wp:extent cx="1485900" cy="317500"/>
            <wp:effectExtent l="0" t="0" r="0" b="6350"/>
            <wp:docPr id="3" name="图片 3"/>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20">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57"/>
    </w:p>
    <w:sectPr>
      <w:pgSz w:w="11906" w:h="16838"/>
      <w:pgMar w:top="2410" w:right="1134" w:bottom="1134" w:left="1134" w:header="1418" w:footer="1134" w:gutter="284"/>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sans-serif">
    <w:altName w:val="Segoe Print"/>
    <w:panose1 w:val="00000000000000000000"/>
    <w:charset w:val="00"/>
    <w:family w:val="auto"/>
    <w:pitch w:val="default"/>
    <w:sig w:usb0="00000000" w:usb1="00000000" w:usb2="00000000" w:usb3="00000000" w:csb0="00000000" w:csb1="00000000"/>
  </w:font>
  <w:font w:name="monospace">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702471">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C5976F">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AC1008">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A268AF">
    <w:pPr>
      <w:pStyle w:val="53"/>
    </w:pPr>
    <w:r>
      <w:fldChar w:fldCharType="begin"/>
    </w:r>
    <w:r>
      <w:instrText xml:space="preserve">PAGE   \* MERGEFORMAT</w:instrText>
    </w:r>
    <w:r>
      <w:fldChar w:fldCharType="separate"/>
    </w:r>
    <w:r>
      <w:rPr>
        <w:lang w:val="zh-CN"/>
      </w:rP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CEF2ED">
    <w:pPr>
      <w:pStyle w:val="53"/>
    </w:pPr>
    <w:r>
      <w:fldChar w:fldCharType="begin"/>
    </w:r>
    <w:r>
      <w:instrText xml:space="preserve">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52A97B">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EF7DBA">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0ECCF4">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E095D2">
    <w:pPr>
      <w:pStyle w:val="62"/>
    </w:pPr>
    <w:r>
      <w:fldChar w:fldCharType="begin"/>
    </w:r>
    <w:r>
      <w:instrText xml:space="preserve"> STYLEREF  标准文件_文件编号  \* MERGEFORMAT </w:instrText>
    </w:r>
    <w:r>
      <w:fldChar w:fldCharType="separate"/>
    </w:r>
    <w:r>
      <w:t>T/CIQA 179—2024</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F7345D">
    <w:pPr>
      <w:pStyle w:val="62"/>
    </w:pPr>
    <w:r>
      <w:fldChar w:fldCharType="begin"/>
    </w:r>
    <w:r>
      <w:instrText xml:space="preserve"> STYLEREF  标准文件_文件编号  \* MERGEFORMAT </w:instrText>
    </w:r>
    <w:r>
      <w:fldChar w:fldCharType="separate"/>
    </w:r>
    <w:r>
      <w:t>T/CIQA 179—2024</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9D48E1"/>
    <w:multiLevelType w:val="singleLevel"/>
    <w:tmpl w:val="9E9D48E1"/>
    <w:lvl w:ilvl="0" w:tentative="0">
      <w:start w:val="1"/>
      <w:numFmt w:val="lowerLetter"/>
      <w:lvlText w:val="%1)"/>
      <w:lvlJc w:val="left"/>
      <w:pPr>
        <w:ind w:left="724" w:hanging="440"/>
      </w:pPr>
    </w:lvl>
  </w:abstractNum>
  <w:abstractNum w:abstractNumId="1">
    <w:nsid w:val="02837933"/>
    <w:multiLevelType w:val="multilevel"/>
    <w:tmpl w:val="02837933"/>
    <w:lvl w:ilvl="0" w:tentative="0">
      <w:start w:val="1"/>
      <w:numFmt w:val="decimal"/>
      <w:pStyle w:val="65"/>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2">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0"/>
      <w:suff w:val="nothing"/>
      <w:lvlText w:val="%1%2.%3　"/>
      <w:lvlJc w:val="left"/>
      <w:pPr>
        <w:ind w:left="0" w:firstLine="0"/>
      </w:pPr>
    </w:lvl>
    <w:lvl w:ilvl="3" w:tentative="0">
      <w:start w:val="1"/>
      <w:numFmt w:val="decimal"/>
      <w:pStyle w:val="119"/>
      <w:suff w:val="nothing"/>
      <w:lvlText w:val="%1%2.%3.%4　"/>
      <w:lvlJc w:val="left"/>
      <w:pPr>
        <w:ind w:left="0" w:firstLine="0"/>
      </w:pPr>
    </w:lvl>
    <w:lvl w:ilvl="4" w:tentative="0">
      <w:start w:val="1"/>
      <w:numFmt w:val="decimal"/>
      <w:pStyle w:val="154"/>
      <w:suff w:val="nothing"/>
      <w:lvlText w:val="%1%2.%3.%4.%5　"/>
      <w:lvlJc w:val="left"/>
      <w:pPr>
        <w:ind w:left="0" w:firstLine="0"/>
      </w:pPr>
    </w:lvl>
    <w:lvl w:ilvl="5" w:tentative="0">
      <w:start w:val="1"/>
      <w:numFmt w:val="decimal"/>
      <w:pStyle w:val="156"/>
      <w:suff w:val="nothing"/>
      <w:lvlText w:val="%1%2.%3.%4.%5.%6　"/>
      <w:lvlJc w:val="left"/>
      <w:pPr>
        <w:ind w:left="0" w:firstLine="0"/>
      </w:pPr>
    </w:lvl>
    <w:lvl w:ilvl="6" w:tentative="0">
      <w:start w:val="1"/>
      <w:numFmt w:val="decimal"/>
      <w:pStyle w:val="159"/>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3">
    <w:nsid w:val="079102AD"/>
    <w:multiLevelType w:val="multilevel"/>
    <w:tmpl w:val="079102AD"/>
    <w:lvl w:ilvl="0" w:tentative="0">
      <w:start w:val="1"/>
      <w:numFmt w:val="decimal"/>
      <w:pStyle w:val="181"/>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4">
    <w:nsid w:val="07ED3FEA"/>
    <w:multiLevelType w:val="multilevel"/>
    <w:tmpl w:val="07ED3FEA"/>
    <w:lvl w:ilvl="0" w:tentative="0">
      <w:start w:val="1"/>
      <w:numFmt w:val="none"/>
      <w:pStyle w:val="90"/>
      <w:lvlText w:val="%1"/>
      <w:lvlJc w:val="left"/>
      <w:pPr>
        <w:ind w:left="425" w:hanging="425"/>
      </w:pPr>
      <w:rPr>
        <w:rFonts w:hint="eastAsia"/>
      </w:rPr>
    </w:lvl>
    <w:lvl w:ilvl="1" w:tentative="0">
      <w:start w:val="1"/>
      <w:numFmt w:val="decimal"/>
      <w:pStyle w:val="201"/>
      <w:suff w:val="nothing"/>
      <w:lvlText w:val="%10.%2 "/>
      <w:lvlJc w:val="left"/>
      <w:pPr>
        <w:ind w:left="0" w:firstLine="0"/>
      </w:pPr>
      <w:rPr>
        <w:rFonts w:hint="eastAsia" w:ascii="黑体" w:eastAsia="黑体" w:hAnsiTheme="minorHAnsi"/>
        <w:b w:val="0"/>
        <w:i w:val="0"/>
        <w:sz w:val="21"/>
      </w:rPr>
    </w:lvl>
    <w:lvl w:ilvl="2" w:tentative="0">
      <w:start w:val="1"/>
      <w:numFmt w:val="decimal"/>
      <w:pStyle w:val="202"/>
      <w:suff w:val="nothing"/>
      <w:lvlText w:val="%10.%2.%3 "/>
      <w:lvlJc w:val="left"/>
      <w:pPr>
        <w:ind w:left="0" w:firstLine="0"/>
      </w:pPr>
      <w:rPr>
        <w:rFonts w:hint="eastAsia" w:ascii="黑体" w:eastAsia="黑体" w:hAnsiTheme="minorHAnsi"/>
        <w:b w:val="0"/>
        <w:i w:val="0"/>
        <w:sz w:val="21"/>
      </w:rPr>
    </w:lvl>
    <w:lvl w:ilvl="3" w:tentative="0">
      <w:start w:val="1"/>
      <w:numFmt w:val="decimal"/>
      <w:pStyle w:val="203"/>
      <w:suff w:val="nothing"/>
      <w:lvlText w:val="%10.%2.%3.%4 "/>
      <w:lvlJc w:val="left"/>
      <w:pPr>
        <w:ind w:left="0" w:firstLine="0"/>
      </w:pPr>
      <w:rPr>
        <w:rFonts w:hint="eastAsia" w:ascii="黑体" w:eastAsia="黑体" w:hAnsiTheme="minorHAnsi"/>
        <w:b w:val="0"/>
        <w:i w:val="0"/>
        <w:sz w:val="21"/>
      </w:rPr>
    </w:lvl>
    <w:lvl w:ilvl="4" w:tentative="0">
      <w:start w:val="1"/>
      <w:numFmt w:val="decimal"/>
      <w:pStyle w:val="204"/>
      <w:suff w:val="nothing"/>
      <w:lvlText w:val="%10.%2.%3.%4.%5 "/>
      <w:lvlJc w:val="left"/>
      <w:pPr>
        <w:ind w:left="0" w:firstLine="0"/>
      </w:pPr>
      <w:rPr>
        <w:rFonts w:hint="eastAsia" w:ascii="黑体" w:eastAsia="黑体" w:hAnsiTheme="minorHAnsi"/>
        <w:b w:val="0"/>
        <w:i w:val="0"/>
        <w:sz w:val="21"/>
      </w:rPr>
    </w:lvl>
    <w:lvl w:ilvl="5" w:tentative="0">
      <w:start w:val="1"/>
      <w:numFmt w:val="decimal"/>
      <w:pStyle w:val="205"/>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0AE367E9"/>
    <w:multiLevelType w:val="multilevel"/>
    <w:tmpl w:val="0AE367E9"/>
    <w:lvl w:ilvl="0" w:tentative="0">
      <w:start w:val="1"/>
      <w:numFmt w:val="none"/>
      <w:pStyle w:val="182"/>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6">
    <w:nsid w:val="0BDC1670"/>
    <w:multiLevelType w:val="multilevel"/>
    <w:tmpl w:val="0BDC1670"/>
    <w:lvl w:ilvl="0" w:tentative="0">
      <w:start w:val="1"/>
      <w:numFmt w:val="decimal"/>
      <w:pStyle w:val="68"/>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D051F45"/>
    <w:multiLevelType w:val="multilevel"/>
    <w:tmpl w:val="0D051F45"/>
    <w:lvl w:ilvl="0" w:tentative="0">
      <w:start w:val="1"/>
      <w:numFmt w:val="low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8">
    <w:nsid w:val="1AD20F90"/>
    <w:multiLevelType w:val="multilevel"/>
    <w:tmpl w:val="1AD20F90"/>
    <w:lvl w:ilvl="0" w:tentative="0">
      <w:start w:val="1"/>
      <w:numFmt w:val="none"/>
      <w:pStyle w:val="111"/>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1AF15012"/>
    <w:multiLevelType w:val="multilevel"/>
    <w:tmpl w:val="1AF15012"/>
    <w:lvl w:ilvl="0" w:tentative="0">
      <w:start w:val="1"/>
      <w:numFmt w:val="upperLetter"/>
      <w:pStyle w:val="86"/>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0">
    <w:nsid w:val="1EAA1992"/>
    <w:multiLevelType w:val="multilevel"/>
    <w:tmpl w:val="1EAA1992"/>
    <w:lvl w:ilvl="0" w:tentative="0">
      <w:start w:val="1"/>
      <w:numFmt w:val="none"/>
      <w:pStyle w:val="93"/>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1">
    <w:nsid w:val="2C5917C3"/>
    <w:multiLevelType w:val="multilevel"/>
    <w:tmpl w:val="2C5917C3"/>
    <w:lvl w:ilvl="0" w:tentative="0">
      <w:start w:val="1"/>
      <w:numFmt w:val="none"/>
      <w:pStyle w:val="133"/>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8"/>
      <w:lvlText w:val=""/>
      <w:lvlJc w:val="left"/>
      <w:pPr>
        <w:ind w:left="851" w:hanging="431"/>
      </w:pPr>
      <w:rPr>
        <w:rFonts w:hint="default" w:ascii="Symbol" w:hAnsi="Symbol"/>
        <w:sz w:val="21"/>
      </w:rPr>
    </w:lvl>
    <w:lvl w:ilvl="2" w:tentative="0">
      <w:start w:val="1"/>
      <w:numFmt w:val="bullet"/>
      <w:pStyle w:val="173"/>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2">
    <w:nsid w:val="32F04FB2"/>
    <w:multiLevelType w:val="multilevel"/>
    <w:tmpl w:val="32F04FB2"/>
    <w:lvl w:ilvl="0" w:tentative="0">
      <w:start w:val="1"/>
      <w:numFmt w:val="lowerLetter"/>
      <w:pStyle w:val="102"/>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3">
    <w:nsid w:val="44C50F90"/>
    <w:multiLevelType w:val="multilevel"/>
    <w:tmpl w:val="44C50F90"/>
    <w:lvl w:ilvl="0" w:tentative="0">
      <w:start w:val="1"/>
      <w:numFmt w:val="lowerLetter"/>
      <w:pStyle w:val="175"/>
      <w:lvlText w:val="%1)"/>
      <w:lvlJc w:val="left"/>
      <w:pPr>
        <w:tabs>
          <w:tab w:val="left" w:pos="851"/>
        </w:tabs>
        <w:ind w:left="851" w:hanging="426"/>
      </w:pPr>
      <w:rPr>
        <w:rFonts w:hint="eastAsia" w:ascii="宋体" w:hAnsi="Times New Roman" w:eastAsia="宋体"/>
        <w:sz w:val="21"/>
      </w:rPr>
    </w:lvl>
    <w:lvl w:ilvl="1" w:tentative="0">
      <w:start w:val="1"/>
      <w:numFmt w:val="decimal"/>
      <w:pStyle w:val="110"/>
      <w:lvlText w:val="%2)"/>
      <w:lvlJc w:val="left"/>
      <w:pPr>
        <w:tabs>
          <w:tab w:val="left" w:pos="1276"/>
        </w:tabs>
        <w:ind w:left="1276" w:hanging="425"/>
      </w:pPr>
      <w:rPr>
        <w:rFonts w:hint="eastAsia" w:ascii="宋体" w:hAnsi="Times New Roman" w:eastAsia="宋体"/>
        <w:sz w:val="21"/>
      </w:rPr>
    </w:lvl>
    <w:lvl w:ilvl="2" w:tentative="0">
      <w:start w:val="1"/>
      <w:numFmt w:val="decimal"/>
      <w:pStyle w:val="118"/>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4">
    <w:nsid w:val="48802D1C"/>
    <w:multiLevelType w:val="multilevel"/>
    <w:tmpl w:val="48802D1C"/>
    <w:lvl w:ilvl="0" w:tentative="0">
      <w:start w:val="1"/>
      <w:numFmt w:val="upperLetter"/>
      <w:pStyle w:val="199"/>
      <w:lvlText w:val="%1"/>
      <w:lvlJc w:val="left"/>
      <w:pPr>
        <w:ind w:left="420" w:hanging="420"/>
      </w:pPr>
      <w:rPr>
        <w:rFonts w:hint="eastAsia"/>
      </w:rPr>
    </w:lvl>
    <w:lvl w:ilvl="1" w:tentative="0">
      <w:start w:val="1"/>
      <w:numFmt w:val="decimal"/>
      <w:pStyle w:val="84"/>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5">
    <w:nsid w:val="4B733A5F"/>
    <w:multiLevelType w:val="multilevel"/>
    <w:tmpl w:val="4B733A5F"/>
    <w:lvl w:ilvl="0" w:tentative="0">
      <w:start w:val="1"/>
      <w:numFmt w:val="decimal"/>
      <w:pStyle w:val="184"/>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6">
    <w:nsid w:val="4E5D0534"/>
    <w:multiLevelType w:val="multilevel"/>
    <w:tmpl w:val="4E5D0534"/>
    <w:lvl w:ilvl="0" w:tentative="0">
      <w:start w:val="1"/>
      <w:numFmt w:val="decimal"/>
      <w:pStyle w:val="117"/>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7">
    <w:nsid w:val="54632751"/>
    <w:multiLevelType w:val="multilevel"/>
    <w:tmpl w:val="54632751"/>
    <w:lvl w:ilvl="0" w:tentative="0">
      <w:start w:val="1"/>
      <w:numFmt w:val="none"/>
      <w:pStyle w:val="94"/>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8">
    <w:nsid w:val="557C2AF5"/>
    <w:multiLevelType w:val="multilevel"/>
    <w:tmpl w:val="557C2AF5"/>
    <w:lvl w:ilvl="0" w:tentative="0">
      <w:start w:val="1"/>
      <w:numFmt w:val="decimal"/>
      <w:pStyle w:val="115"/>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9">
    <w:nsid w:val="5603797C"/>
    <w:multiLevelType w:val="multilevel"/>
    <w:tmpl w:val="5603797C"/>
    <w:lvl w:ilvl="0" w:tentative="0">
      <w:start w:val="1"/>
      <w:numFmt w:val="upperLetter"/>
      <w:pStyle w:val="200"/>
      <w:suff w:val="space"/>
      <w:lvlText w:val="%1"/>
      <w:lvlJc w:val="left"/>
      <w:pPr>
        <w:ind w:left="425" w:hanging="425"/>
      </w:pPr>
      <w:rPr>
        <w:rFonts w:hint="eastAsia"/>
      </w:rPr>
    </w:lvl>
    <w:lvl w:ilvl="1" w:tentative="0">
      <w:start w:val="1"/>
      <w:numFmt w:val="decimal"/>
      <w:pStyle w:val="78"/>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0">
    <w:nsid w:val="564D2089"/>
    <w:multiLevelType w:val="multilevel"/>
    <w:tmpl w:val="564D2089"/>
    <w:lvl w:ilvl="0" w:tentative="0">
      <w:start w:val="1"/>
      <w:numFmt w:val="none"/>
      <w:pStyle w:val="112"/>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5E5F266F"/>
    <w:multiLevelType w:val="multilevel"/>
    <w:tmpl w:val="5E5F266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644622F9"/>
    <w:multiLevelType w:val="multilevel"/>
    <w:tmpl w:val="644622F9"/>
    <w:lvl w:ilvl="0" w:tentative="0">
      <w:start w:val="1"/>
      <w:numFmt w:val="upp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3">
    <w:nsid w:val="646260FA"/>
    <w:multiLevelType w:val="multilevel"/>
    <w:tmpl w:val="646260FA"/>
    <w:lvl w:ilvl="0" w:tentative="0">
      <w:start w:val="1"/>
      <w:numFmt w:val="decimal"/>
      <w:pStyle w:val="113"/>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4">
    <w:nsid w:val="654A26C9"/>
    <w:multiLevelType w:val="multilevel"/>
    <w:tmpl w:val="654A26C9"/>
    <w:lvl w:ilvl="0" w:tentative="0">
      <w:start w:val="1"/>
      <w:numFmt w:val="none"/>
      <w:pStyle w:val="190"/>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5">
    <w:nsid w:val="657D3FBC"/>
    <w:multiLevelType w:val="multilevel"/>
    <w:tmpl w:val="657D3FBC"/>
    <w:lvl w:ilvl="0" w:tentative="0">
      <w:start w:val="1"/>
      <w:numFmt w:val="upperLetter"/>
      <w:pStyle w:val="77"/>
      <w:suff w:val="nothing"/>
      <w:lvlText w:val="附录%1"/>
      <w:lvlJc w:val="left"/>
      <w:pPr>
        <w:ind w:left="0" w:firstLine="0"/>
      </w:pPr>
      <w:rPr>
        <w:rFonts w:hint="eastAsia"/>
        <w:spacing w:val="100"/>
      </w:rPr>
    </w:lvl>
    <w:lvl w:ilvl="1" w:tentative="0">
      <w:start w:val="1"/>
      <w:numFmt w:val="decimal"/>
      <w:pStyle w:val="79"/>
      <w:suff w:val="nothing"/>
      <w:lvlText w:val="%1.%2　"/>
      <w:lvlJc w:val="left"/>
      <w:pPr>
        <w:ind w:left="0" w:firstLine="0"/>
      </w:pPr>
      <w:rPr>
        <w:rFonts w:hint="eastAsia" w:ascii="黑体" w:eastAsia="黑体"/>
        <w:b w:val="0"/>
        <w:i w:val="0"/>
        <w:sz w:val="21"/>
      </w:rPr>
    </w:lvl>
    <w:lvl w:ilvl="2" w:tentative="0">
      <w:start w:val="1"/>
      <w:numFmt w:val="decimal"/>
      <w:pStyle w:val="80"/>
      <w:suff w:val="nothing"/>
      <w:lvlText w:val="%1.%2.%3　"/>
      <w:lvlJc w:val="left"/>
      <w:pPr>
        <w:ind w:left="0" w:firstLine="0"/>
      </w:pPr>
      <w:rPr>
        <w:rFonts w:hint="eastAsia" w:ascii="黑体" w:eastAsia="黑体"/>
        <w:b w:val="0"/>
        <w:i w:val="0"/>
        <w:sz w:val="21"/>
      </w:rPr>
    </w:lvl>
    <w:lvl w:ilvl="3" w:tentative="0">
      <w:start w:val="1"/>
      <w:numFmt w:val="decimal"/>
      <w:pStyle w:val="82"/>
      <w:suff w:val="nothing"/>
      <w:lvlText w:val="%1.%2.%3.%4　"/>
      <w:lvlJc w:val="left"/>
      <w:pPr>
        <w:ind w:left="0" w:firstLine="0"/>
      </w:pPr>
      <w:rPr>
        <w:rFonts w:hint="eastAsia" w:ascii="黑体" w:eastAsia="黑体"/>
        <w:b w:val="0"/>
        <w:i w:val="0"/>
        <w:sz w:val="21"/>
      </w:rPr>
    </w:lvl>
    <w:lvl w:ilvl="4" w:tentative="0">
      <w:start w:val="1"/>
      <w:numFmt w:val="decimal"/>
      <w:pStyle w:val="83"/>
      <w:suff w:val="nothing"/>
      <w:lvlText w:val="%1.%2.%3.%4.%5　"/>
      <w:lvlJc w:val="left"/>
      <w:pPr>
        <w:ind w:left="0" w:firstLine="0"/>
      </w:pPr>
      <w:rPr>
        <w:rFonts w:hint="eastAsia" w:ascii="黑体" w:eastAsia="黑体"/>
        <w:b w:val="0"/>
        <w:i w:val="0"/>
        <w:sz w:val="21"/>
      </w:rPr>
    </w:lvl>
    <w:lvl w:ilvl="5" w:tentative="0">
      <w:start w:val="1"/>
      <w:numFmt w:val="decimal"/>
      <w:pStyle w:val="85"/>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6">
    <w:nsid w:val="69506ABF"/>
    <w:multiLevelType w:val="multilevel"/>
    <w:tmpl w:val="69506ABF"/>
    <w:lvl w:ilvl="0" w:tentative="0">
      <w:start w:val="1"/>
      <w:numFmt w:val="bullet"/>
      <w:pStyle w:val="189"/>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7">
    <w:nsid w:val="6CA41985"/>
    <w:multiLevelType w:val="multilevel"/>
    <w:tmpl w:val="6CA41985"/>
    <w:lvl w:ilvl="0" w:tentative="0">
      <w:start w:val="1"/>
      <w:numFmt w:val="decimal"/>
      <w:pStyle w:val="98"/>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8">
    <w:nsid w:val="6CE42AC1"/>
    <w:multiLevelType w:val="multilevel"/>
    <w:tmpl w:val="6CE42AC1"/>
    <w:lvl w:ilvl="0" w:tentative="0">
      <w:start w:val="1"/>
      <w:numFmt w:val="lowerLetter"/>
      <w:pStyle w:val="17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6CEA2025"/>
    <w:multiLevelType w:val="multilevel"/>
    <w:tmpl w:val="6CEA2025"/>
    <w:lvl w:ilvl="0" w:tentative="0">
      <w:start w:val="1"/>
      <w:numFmt w:val="none"/>
      <w:pStyle w:val="153"/>
      <w:suff w:val="nothing"/>
      <w:lvlText w:val="%1"/>
      <w:lvlJc w:val="left"/>
      <w:pPr>
        <w:ind w:left="0" w:firstLine="0"/>
      </w:pPr>
      <w:rPr>
        <w:rFonts w:hint="eastAsia"/>
      </w:rPr>
    </w:lvl>
    <w:lvl w:ilvl="1" w:tentative="0">
      <w:start w:val="1"/>
      <w:numFmt w:val="decimal"/>
      <w:pStyle w:val="105"/>
      <w:suff w:val="nothing"/>
      <w:lvlText w:val="%1%2　"/>
      <w:lvlJc w:val="left"/>
      <w:pPr>
        <w:ind w:left="709" w:firstLine="0"/>
      </w:pPr>
      <w:rPr>
        <w:rFonts w:hint="eastAsia" w:ascii="黑体" w:eastAsia="黑体"/>
        <w:b w:val="0"/>
        <w:i w:val="0"/>
        <w:sz w:val="21"/>
      </w:rPr>
    </w:lvl>
    <w:lvl w:ilvl="2" w:tentative="0">
      <w:start w:val="1"/>
      <w:numFmt w:val="decimal"/>
      <w:pStyle w:val="106"/>
      <w:suff w:val="nothing"/>
      <w:lvlText w:val="%1%2.%3　"/>
      <w:lvlJc w:val="left"/>
      <w:pPr>
        <w:ind w:left="426"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6"/>
      <w:suff w:val="nothing"/>
      <w:lvlText w:val="%1%2.%3.%4　"/>
      <w:lvlJc w:val="left"/>
      <w:pPr>
        <w:ind w:left="568" w:firstLine="0"/>
      </w:pPr>
      <w:rPr>
        <w:rFonts w:hint="eastAsia" w:ascii="黑体" w:eastAsia="黑体"/>
        <w:b w:val="0"/>
        <w:i w:val="0"/>
        <w:sz w:val="21"/>
      </w:rPr>
    </w:lvl>
    <w:lvl w:ilvl="4" w:tentative="0">
      <w:start w:val="1"/>
      <w:numFmt w:val="decimal"/>
      <w:pStyle w:val="95"/>
      <w:suff w:val="nothing"/>
      <w:lvlText w:val="%1%2.%3.%4.%5　"/>
      <w:lvlJc w:val="left"/>
      <w:pPr>
        <w:ind w:left="709" w:firstLine="0"/>
      </w:pPr>
      <w:rPr>
        <w:rFonts w:hint="eastAsia" w:ascii="黑体" w:eastAsia="黑体"/>
        <w:b w:val="0"/>
        <w:i w:val="0"/>
        <w:sz w:val="21"/>
      </w:rPr>
    </w:lvl>
    <w:lvl w:ilvl="5" w:tentative="0">
      <w:start w:val="1"/>
      <w:numFmt w:val="decimal"/>
      <w:pStyle w:val="99"/>
      <w:suff w:val="nothing"/>
      <w:lvlText w:val="%1%2.%3.%4.%5.%6　"/>
      <w:lvlJc w:val="left"/>
      <w:pPr>
        <w:ind w:left="0" w:firstLine="0"/>
      </w:pPr>
      <w:rPr>
        <w:rFonts w:hint="eastAsia" w:ascii="黑体" w:eastAsia="黑体"/>
        <w:b w:val="0"/>
        <w:i w:val="0"/>
        <w:sz w:val="21"/>
      </w:rPr>
    </w:lvl>
    <w:lvl w:ilvl="6" w:tentative="0">
      <w:start w:val="1"/>
      <w:numFmt w:val="decimal"/>
      <w:pStyle w:val="104"/>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0">
    <w:nsid w:val="6DBF04F4"/>
    <w:multiLevelType w:val="multilevel"/>
    <w:tmpl w:val="6DBF04F4"/>
    <w:lvl w:ilvl="0" w:tentative="0">
      <w:start w:val="1"/>
      <w:numFmt w:val="none"/>
      <w:pStyle w:val="180"/>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1">
    <w:nsid w:val="6DF35F19"/>
    <w:multiLevelType w:val="multilevel"/>
    <w:tmpl w:val="6DF35F19"/>
    <w:lvl w:ilvl="0" w:tentative="0">
      <w:start w:val="1"/>
      <w:numFmt w:val="decimal"/>
      <w:pStyle w:val="116"/>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2">
    <w:nsid w:val="76933334"/>
    <w:multiLevelType w:val="multilevel"/>
    <w:tmpl w:val="76933334"/>
    <w:lvl w:ilvl="0" w:tentative="0">
      <w:start w:val="1"/>
      <w:numFmt w:val="none"/>
      <w:pStyle w:val="140"/>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29"/>
  </w:num>
  <w:num w:numId="3">
    <w:abstractNumId w:val="6"/>
  </w:num>
  <w:num w:numId="4">
    <w:abstractNumId w:val="25"/>
  </w:num>
  <w:num w:numId="5">
    <w:abstractNumId w:val="19"/>
  </w:num>
  <w:num w:numId="6">
    <w:abstractNumId w:val="14"/>
  </w:num>
  <w:num w:numId="7">
    <w:abstractNumId w:val="9"/>
  </w:num>
  <w:num w:numId="8">
    <w:abstractNumId w:val="4"/>
  </w:num>
  <w:num w:numId="9">
    <w:abstractNumId w:val="10"/>
  </w:num>
  <w:num w:numId="10">
    <w:abstractNumId w:val="17"/>
  </w:num>
  <w:num w:numId="11">
    <w:abstractNumId w:val="27"/>
  </w:num>
  <w:num w:numId="12">
    <w:abstractNumId w:val="12"/>
  </w:num>
  <w:num w:numId="13">
    <w:abstractNumId w:val="13"/>
  </w:num>
  <w:num w:numId="14">
    <w:abstractNumId w:val="8"/>
  </w:num>
  <w:num w:numId="15">
    <w:abstractNumId w:val="20"/>
  </w:num>
  <w:num w:numId="16">
    <w:abstractNumId w:val="23"/>
  </w:num>
  <w:num w:numId="17">
    <w:abstractNumId w:val="18"/>
  </w:num>
  <w:num w:numId="18">
    <w:abstractNumId w:val="31"/>
  </w:num>
  <w:num w:numId="19">
    <w:abstractNumId w:val="16"/>
  </w:num>
  <w:num w:numId="20">
    <w:abstractNumId w:val="2"/>
  </w:num>
  <w:num w:numId="21">
    <w:abstractNumId w:val="11"/>
  </w:num>
  <w:num w:numId="22">
    <w:abstractNumId w:val="32"/>
  </w:num>
  <w:num w:numId="23">
    <w:abstractNumId w:val="22"/>
  </w:num>
  <w:num w:numId="24">
    <w:abstractNumId w:val="7"/>
  </w:num>
  <w:num w:numId="25">
    <w:abstractNumId w:val="28"/>
  </w:num>
  <w:num w:numId="26">
    <w:abstractNumId w:val="30"/>
  </w:num>
  <w:num w:numId="27">
    <w:abstractNumId w:val="3"/>
  </w:num>
  <w:num w:numId="28">
    <w:abstractNumId w:val="5"/>
  </w:num>
  <w:num w:numId="29">
    <w:abstractNumId w:val="15"/>
  </w:num>
  <w:num w:numId="30">
    <w:abstractNumId w:val="26"/>
  </w:num>
  <w:num w:numId="31">
    <w:abstractNumId w:val="24"/>
  </w:num>
  <w:num w:numId="32">
    <w:abstractNumId w:val="21"/>
  </w:num>
  <w:num w:numId="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attachedTemplate r:id="rId1"/>
  <w:documentProtection w:edit="forms"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ZjOGQ3NzZjYTU1OTY0ZWVjYjMxNTM3OWFhYzk3YjUifQ=="/>
  </w:docVars>
  <w:rsids>
    <w:rsidRoot w:val="00B05BA0"/>
    <w:rsid w:val="0000040A"/>
    <w:rsid w:val="00000A94"/>
    <w:rsid w:val="00001972"/>
    <w:rsid w:val="00001D9A"/>
    <w:rsid w:val="00002A4C"/>
    <w:rsid w:val="00006D5C"/>
    <w:rsid w:val="00007005"/>
    <w:rsid w:val="00007B3A"/>
    <w:rsid w:val="000107E0"/>
    <w:rsid w:val="00011FDE"/>
    <w:rsid w:val="00012FFD"/>
    <w:rsid w:val="00014162"/>
    <w:rsid w:val="00014340"/>
    <w:rsid w:val="00016198"/>
    <w:rsid w:val="00016A9C"/>
    <w:rsid w:val="00022184"/>
    <w:rsid w:val="00022762"/>
    <w:rsid w:val="000238E0"/>
    <w:rsid w:val="000249DB"/>
    <w:rsid w:val="0002595E"/>
    <w:rsid w:val="000303C3"/>
    <w:rsid w:val="000313C9"/>
    <w:rsid w:val="00031F23"/>
    <w:rsid w:val="000320CD"/>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2929"/>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317"/>
    <w:rsid w:val="000C57D6"/>
    <w:rsid w:val="000C6362"/>
    <w:rsid w:val="000C7666"/>
    <w:rsid w:val="000D0A9C"/>
    <w:rsid w:val="000D1795"/>
    <w:rsid w:val="000D329A"/>
    <w:rsid w:val="000D4B9C"/>
    <w:rsid w:val="000D4EB6"/>
    <w:rsid w:val="000D753B"/>
    <w:rsid w:val="000D7749"/>
    <w:rsid w:val="000E4C9E"/>
    <w:rsid w:val="000E6FD7"/>
    <w:rsid w:val="000F06E1"/>
    <w:rsid w:val="000F0D00"/>
    <w:rsid w:val="000F0E3C"/>
    <w:rsid w:val="000F19D5"/>
    <w:rsid w:val="000F4050"/>
    <w:rsid w:val="000F4AEA"/>
    <w:rsid w:val="000F67E9"/>
    <w:rsid w:val="0010168A"/>
    <w:rsid w:val="00103E0D"/>
    <w:rsid w:val="00104926"/>
    <w:rsid w:val="00107B5A"/>
    <w:rsid w:val="00113B1E"/>
    <w:rsid w:val="0011711C"/>
    <w:rsid w:val="00124E4F"/>
    <w:rsid w:val="001260B7"/>
    <w:rsid w:val="001265CB"/>
    <w:rsid w:val="00127CB2"/>
    <w:rsid w:val="001302E0"/>
    <w:rsid w:val="001321C6"/>
    <w:rsid w:val="001325C4"/>
    <w:rsid w:val="0013295A"/>
    <w:rsid w:val="00133010"/>
    <w:rsid w:val="001338EE"/>
    <w:rsid w:val="00133AAE"/>
    <w:rsid w:val="00135323"/>
    <w:rsid w:val="001356C4"/>
    <w:rsid w:val="00137565"/>
    <w:rsid w:val="00141114"/>
    <w:rsid w:val="00142969"/>
    <w:rsid w:val="001446C2"/>
    <w:rsid w:val="00145747"/>
    <w:rsid w:val="001457E7"/>
    <w:rsid w:val="00145D9D"/>
    <w:rsid w:val="00146388"/>
    <w:rsid w:val="001529E5"/>
    <w:rsid w:val="00152FB3"/>
    <w:rsid w:val="00153C7E"/>
    <w:rsid w:val="00155E90"/>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2FD6"/>
    <w:rsid w:val="0017340B"/>
    <w:rsid w:val="00173FB1"/>
    <w:rsid w:val="00176DFD"/>
    <w:rsid w:val="00180166"/>
    <w:rsid w:val="00182372"/>
    <w:rsid w:val="001852C9"/>
    <w:rsid w:val="00187A0B"/>
    <w:rsid w:val="00190087"/>
    <w:rsid w:val="001913C4"/>
    <w:rsid w:val="0019348F"/>
    <w:rsid w:val="00193A07"/>
    <w:rsid w:val="00194C95"/>
    <w:rsid w:val="00195C34"/>
    <w:rsid w:val="00196EF5"/>
    <w:rsid w:val="001A1A53"/>
    <w:rsid w:val="001A234A"/>
    <w:rsid w:val="001A4CF3"/>
    <w:rsid w:val="001A6696"/>
    <w:rsid w:val="001B06E8"/>
    <w:rsid w:val="001B1455"/>
    <w:rsid w:val="001B3AED"/>
    <w:rsid w:val="001B3C2E"/>
    <w:rsid w:val="001B4F11"/>
    <w:rsid w:val="001B704E"/>
    <w:rsid w:val="001B71D0"/>
    <w:rsid w:val="001B71EE"/>
    <w:rsid w:val="001C04A8"/>
    <w:rsid w:val="001C2C03"/>
    <w:rsid w:val="001C2CE7"/>
    <w:rsid w:val="001C42F7"/>
    <w:rsid w:val="001C49E5"/>
    <w:rsid w:val="001C680C"/>
    <w:rsid w:val="001C7FEA"/>
    <w:rsid w:val="001D0499"/>
    <w:rsid w:val="001D0BBE"/>
    <w:rsid w:val="001D0ED4"/>
    <w:rsid w:val="001D212F"/>
    <w:rsid w:val="001D29D7"/>
    <w:rsid w:val="001D2D24"/>
    <w:rsid w:val="001D2DE7"/>
    <w:rsid w:val="001D411C"/>
    <w:rsid w:val="001D577D"/>
    <w:rsid w:val="001D6E8B"/>
    <w:rsid w:val="001E0D78"/>
    <w:rsid w:val="001E1B6A"/>
    <w:rsid w:val="001E2484"/>
    <w:rsid w:val="001E3CC4"/>
    <w:rsid w:val="001E4882"/>
    <w:rsid w:val="001E6020"/>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07A40"/>
    <w:rsid w:val="00210B15"/>
    <w:rsid w:val="002142EA"/>
    <w:rsid w:val="00215ADD"/>
    <w:rsid w:val="002204BB"/>
    <w:rsid w:val="00221B79"/>
    <w:rsid w:val="00221C6B"/>
    <w:rsid w:val="002253A1"/>
    <w:rsid w:val="00225CF8"/>
    <w:rsid w:val="0022685D"/>
    <w:rsid w:val="0022794E"/>
    <w:rsid w:val="00233D64"/>
    <w:rsid w:val="0023482A"/>
    <w:rsid w:val="002359CB"/>
    <w:rsid w:val="002372DB"/>
    <w:rsid w:val="0024077F"/>
    <w:rsid w:val="00243540"/>
    <w:rsid w:val="0024497B"/>
    <w:rsid w:val="0024515B"/>
    <w:rsid w:val="00246021"/>
    <w:rsid w:val="0024666E"/>
    <w:rsid w:val="0024726D"/>
    <w:rsid w:val="00247F52"/>
    <w:rsid w:val="00250B25"/>
    <w:rsid w:val="00250BBE"/>
    <w:rsid w:val="00250C0A"/>
    <w:rsid w:val="002515C2"/>
    <w:rsid w:val="0025194F"/>
    <w:rsid w:val="0026148A"/>
    <w:rsid w:val="00262696"/>
    <w:rsid w:val="00263D25"/>
    <w:rsid w:val="002643C3"/>
    <w:rsid w:val="00264A0C"/>
    <w:rsid w:val="00266EEB"/>
    <w:rsid w:val="00267EF4"/>
    <w:rsid w:val="00270CB8"/>
    <w:rsid w:val="00272B08"/>
    <w:rsid w:val="00273E29"/>
    <w:rsid w:val="00281018"/>
    <w:rsid w:val="00281BB8"/>
    <w:rsid w:val="00281E9E"/>
    <w:rsid w:val="00282405"/>
    <w:rsid w:val="00285170"/>
    <w:rsid w:val="00285361"/>
    <w:rsid w:val="00290085"/>
    <w:rsid w:val="002916C6"/>
    <w:rsid w:val="00292D60"/>
    <w:rsid w:val="00293B30"/>
    <w:rsid w:val="00294A29"/>
    <w:rsid w:val="00294D34"/>
    <w:rsid w:val="00294E3B"/>
    <w:rsid w:val="00296193"/>
    <w:rsid w:val="0029655C"/>
    <w:rsid w:val="00296C66"/>
    <w:rsid w:val="00296EBE"/>
    <w:rsid w:val="002974E3"/>
    <w:rsid w:val="002A084B"/>
    <w:rsid w:val="002A1260"/>
    <w:rsid w:val="002A1589"/>
    <w:rsid w:val="002A1608"/>
    <w:rsid w:val="002A25DC"/>
    <w:rsid w:val="002A33CC"/>
    <w:rsid w:val="002A3AAB"/>
    <w:rsid w:val="002A4CEA"/>
    <w:rsid w:val="002A5977"/>
    <w:rsid w:val="002A5A13"/>
    <w:rsid w:val="002A757F"/>
    <w:rsid w:val="002A7F44"/>
    <w:rsid w:val="002B0C40"/>
    <w:rsid w:val="002B1966"/>
    <w:rsid w:val="002B4508"/>
    <w:rsid w:val="002B5779"/>
    <w:rsid w:val="002B7332"/>
    <w:rsid w:val="002B7837"/>
    <w:rsid w:val="002B7F51"/>
    <w:rsid w:val="002C09E7"/>
    <w:rsid w:val="002C1E06"/>
    <w:rsid w:val="002C3F07"/>
    <w:rsid w:val="002C4038"/>
    <w:rsid w:val="002C5278"/>
    <w:rsid w:val="002C78A7"/>
    <w:rsid w:val="002C7EBB"/>
    <w:rsid w:val="002C7F72"/>
    <w:rsid w:val="002D06C1"/>
    <w:rsid w:val="002D42B5"/>
    <w:rsid w:val="002D4F1A"/>
    <w:rsid w:val="002D6EC6"/>
    <w:rsid w:val="002D79AC"/>
    <w:rsid w:val="002E039D"/>
    <w:rsid w:val="002E4D5A"/>
    <w:rsid w:val="002E6326"/>
    <w:rsid w:val="002F1D5D"/>
    <w:rsid w:val="002F30E0"/>
    <w:rsid w:val="002F35E4"/>
    <w:rsid w:val="002F3730"/>
    <w:rsid w:val="002F38E1"/>
    <w:rsid w:val="002F7AF6"/>
    <w:rsid w:val="00300E63"/>
    <w:rsid w:val="00302F5F"/>
    <w:rsid w:val="00303C18"/>
    <w:rsid w:val="0030441D"/>
    <w:rsid w:val="00305D86"/>
    <w:rsid w:val="00306063"/>
    <w:rsid w:val="00312EE3"/>
    <w:rsid w:val="00313B85"/>
    <w:rsid w:val="00317988"/>
    <w:rsid w:val="003203E4"/>
    <w:rsid w:val="003221B4"/>
    <w:rsid w:val="0032258D"/>
    <w:rsid w:val="00322E62"/>
    <w:rsid w:val="0032373D"/>
    <w:rsid w:val="00323A76"/>
    <w:rsid w:val="00324D13"/>
    <w:rsid w:val="00324EDD"/>
    <w:rsid w:val="00325FA9"/>
    <w:rsid w:val="003331E4"/>
    <w:rsid w:val="00336C64"/>
    <w:rsid w:val="00337162"/>
    <w:rsid w:val="0034194F"/>
    <w:rsid w:val="00344605"/>
    <w:rsid w:val="00344CE8"/>
    <w:rsid w:val="003474AA"/>
    <w:rsid w:val="00350D1D"/>
    <w:rsid w:val="00352C83"/>
    <w:rsid w:val="00352F1A"/>
    <w:rsid w:val="00353812"/>
    <w:rsid w:val="00355212"/>
    <w:rsid w:val="0036107C"/>
    <w:rsid w:val="003615D2"/>
    <w:rsid w:val="0036347E"/>
    <w:rsid w:val="0036429C"/>
    <w:rsid w:val="00364A53"/>
    <w:rsid w:val="003654CB"/>
    <w:rsid w:val="00365AA9"/>
    <w:rsid w:val="00365F86"/>
    <w:rsid w:val="00365F87"/>
    <w:rsid w:val="00366054"/>
    <w:rsid w:val="0036605C"/>
    <w:rsid w:val="00366E89"/>
    <w:rsid w:val="00367F18"/>
    <w:rsid w:val="003705F4"/>
    <w:rsid w:val="00370D58"/>
    <w:rsid w:val="00371316"/>
    <w:rsid w:val="003717E7"/>
    <w:rsid w:val="00376713"/>
    <w:rsid w:val="00381815"/>
    <w:rsid w:val="003819AF"/>
    <w:rsid w:val="003820E9"/>
    <w:rsid w:val="00382D84"/>
    <w:rsid w:val="00382DE7"/>
    <w:rsid w:val="00384FFC"/>
    <w:rsid w:val="003872FC"/>
    <w:rsid w:val="00387ADC"/>
    <w:rsid w:val="00390020"/>
    <w:rsid w:val="003903D6"/>
    <w:rsid w:val="00390EE6"/>
    <w:rsid w:val="0039118F"/>
    <w:rsid w:val="00392AD7"/>
    <w:rsid w:val="003938D9"/>
    <w:rsid w:val="00393BF5"/>
    <w:rsid w:val="00394376"/>
    <w:rsid w:val="003943FF"/>
    <w:rsid w:val="003956B5"/>
    <w:rsid w:val="003974EB"/>
    <w:rsid w:val="00397CC5"/>
    <w:rsid w:val="003A1582"/>
    <w:rsid w:val="003A3D9C"/>
    <w:rsid w:val="003A4077"/>
    <w:rsid w:val="003A4AA7"/>
    <w:rsid w:val="003A5B39"/>
    <w:rsid w:val="003B09AD"/>
    <w:rsid w:val="003B1F18"/>
    <w:rsid w:val="003B5BF0"/>
    <w:rsid w:val="003B60BF"/>
    <w:rsid w:val="003B6BE3"/>
    <w:rsid w:val="003C010C"/>
    <w:rsid w:val="003C0A6C"/>
    <w:rsid w:val="003C14F8"/>
    <w:rsid w:val="003C1AFF"/>
    <w:rsid w:val="003C2227"/>
    <w:rsid w:val="003C23ED"/>
    <w:rsid w:val="003C38A3"/>
    <w:rsid w:val="003C5A43"/>
    <w:rsid w:val="003D0519"/>
    <w:rsid w:val="003D0592"/>
    <w:rsid w:val="003D0F33"/>
    <w:rsid w:val="003D0FF6"/>
    <w:rsid w:val="003D262C"/>
    <w:rsid w:val="003D5A07"/>
    <w:rsid w:val="003D6D61"/>
    <w:rsid w:val="003E091D"/>
    <w:rsid w:val="003E1C53"/>
    <w:rsid w:val="003E2A69"/>
    <w:rsid w:val="003E2D49"/>
    <w:rsid w:val="003E2FD4"/>
    <w:rsid w:val="003E49F6"/>
    <w:rsid w:val="003E660F"/>
    <w:rsid w:val="003E730D"/>
    <w:rsid w:val="003F0841"/>
    <w:rsid w:val="003F12A9"/>
    <w:rsid w:val="003F23D3"/>
    <w:rsid w:val="003F3F08"/>
    <w:rsid w:val="003F49F1"/>
    <w:rsid w:val="003F6272"/>
    <w:rsid w:val="00400E72"/>
    <w:rsid w:val="0040123D"/>
    <w:rsid w:val="00401400"/>
    <w:rsid w:val="00401F84"/>
    <w:rsid w:val="00404869"/>
    <w:rsid w:val="004055F2"/>
    <w:rsid w:val="00405884"/>
    <w:rsid w:val="004064CA"/>
    <w:rsid w:val="00407D39"/>
    <w:rsid w:val="00411580"/>
    <w:rsid w:val="00413A44"/>
    <w:rsid w:val="0041477A"/>
    <w:rsid w:val="004167A3"/>
    <w:rsid w:val="00417D35"/>
    <w:rsid w:val="00432DAA"/>
    <w:rsid w:val="00434305"/>
    <w:rsid w:val="00435DF7"/>
    <w:rsid w:val="00436EC8"/>
    <w:rsid w:val="0044083F"/>
    <w:rsid w:val="00441952"/>
    <w:rsid w:val="00441AE7"/>
    <w:rsid w:val="00441D56"/>
    <w:rsid w:val="00442187"/>
    <w:rsid w:val="00445574"/>
    <w:rsid w:val="004467FB"/>
    <w:rsid w:val="00451195"/>
    <w:rsid w:val="00452D6B"/>
    <w:rsid w:val="00454484"/>
    <w:rsid w:val="0045517B"/>
    <w:rsid w:val="00457FA6"/>
    <w:rsid w:val="00463B77"/>
    <w:rsid w:val="00463C7B"/>
    <w:rsid w:val="004644A6"/>
    <w:rsid w:val="004659BD"/>
    <w:rsid w:val="004662A3"/>
    <w:rsid w:val="00470775"/>
    <w:rsid w:val="00472B20"/>
    <w:rsid w:val="004746B1"/>
    <w:rsid w:val="0047583F"/>
    <w:rsid w:val="00475DE8"/>
    <w:rsid w:val="00481C44"/>
    <w:rsid w:val="00484936"/>
    <w:rsid w:val="00485C89"/>
    <w:rsid w:val="00486BE3"/>
    <w:rsid w:val="004905E4"/>
    <w:rsid w:val="00490A89"/>
    <w:rsid w:val="00490AB4"/>
    <w:rsid w:val="00492F02"/>
    <w:rsid w:val="004939AE"/>
    <w:rsid w:val="004967C2"/>
    <w:rsid w:val="004A12DF"/>
    <w:rsid w:val="004A1BA8"/>
    <w:rsid w:val="004A1D74"/>
    <w:rsid w:val="004A24E5"/>
    <w:rsid w:val="004A4B57"/>
    <w:rsid w:val="004A63FA"/>
    <w:rsid w:val="004A6A3D"/>
    <w:rsid w:val="004A7D84"/>
    <w:rsid w:val="004B0272"/>
    <w:rsid w:val="004B2701"/>
    <w:rsid w:val="004B2E1B"/>
    <w:rsid w:val="004B3AA8"/>
    <w:rsid w:val="004B3E93"/>
    <w:rsid w:val="004C1FBC"/>
    <w:rsid w:val="004C25A2"/>
    <w:rsid w:val="004C3F1D"/>
    <w:rsid w:val="004C458D"/>
    <w:rsid w:val="004C5BAE"/>
    <w:rsid w:val="004C7556"/>
    <w:rsid w:val="004C7E8B"/>
    <w:rsid w:val="004C7E9D"/>
    <w:rsid w:val="004C7F67"/>
    <w:rsid w:val="004D076D"/>
    <w:rsid w:val="004D0EF1"/>
    <w:rsid w:val="004D2253"/>
    <w:rsid w:val="004D27A8"/>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0657"/>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2A46"/>
    <w:rsid w:val="00523F95"/>
    <w:rsid w:val="00524D65"/>
    <w:rsid w:val="00525B16"/>
    <w:rsid w:val="00527D00"/>
    <w:rsid w:val="00531588"/>
    <w:rsid w:val="00533D04"/>
    <w:rsid w:val="0053428F"/>
    <w:rsid w:val="00534804"/>
    <w:rsid w:val="00534BDF"/>
    <w:rsid w:val="005354EA"/>
    <w:rsid w:val="0053585F"/>
    <w:rsid w:val="00535EC4"/>
    <w:rsid w:val="00535ED9"/>
    <w:rsid w:val="0053692B"/>
    <w:rsid w:val="0054181F"/>
    <w:rsid w:val="00541853"/>
    <w:rsid w:val="00543BDA"/>
    <w:rsid w:val="005441CC"/>
    <w:rsid w:val="005479DA"/>
    <w:rsid w:val="00547BCC"/>
    <w:rsid w:val="0055013B"/>
    <w:rsid w:val="00550CB0"/>
    <w:rsid w:val="00551F6F"/>
    <w:rsid w:val="00554726"/>
    <w:rsid w:val="00555044"/>
    <w:rsid w:val="00560122"/>
    <w:rsid w:val="00560F53"/>
    <w:rsid w:val="00561475"/>
    <w:rsid w:val="00562308"/>
    <w:rsid w:val="0056487B"/>
    <w:rsid w:val="00564FB9"/>
    <w:rsid w:val="00573D9E"/>
    <w:rsid w:val="005801E3"/>
    <w:rsid w:val="0058132B"/>
    <w:rsid w:val="00581802"/>
    <w:rsid w:val="005836A8"/>
    <w:rsid w:val="0058409C"/>
    <w:rsid w:val="00584262"/>
    <w:rsid w:val="00585015"/>
    <w:rsid w:val="00586630"/>
    <w:rsid w:val="00587ADD"/>
    <w:rsid w:val="005908CF"/>
    <w:rsid w:val="0059228A"/>
    <w:rsid w:val="00593A49"/>
    <w:rsid w:val="00596160"/>
    <w:rsid w:val="005966E2"/>
    <w:rsid w:val="00597007"/>
    <w:rsid w:val="005A0966"/>
    <w:rsid w:val="005A11B7"/>
    <w:rsid w:val="005A260B"/>
    <w:rsid w:val="005A4A1B"/>
    <w:rsid w:val="005A57ED"/>
    <w:rsid w:val="005A7830"/>
    <w:rsid w:val="005A7FCE"/>
    <w:rsid w:val="005B0F3F"/>
    <w:rsid w:val="005B1235"/>
    <w:rsid w:val="005B191C"/>
    <w:rsid w:val="005B423A"/>
    <w:rsid w:val="005B4903"/>
    <w:rsid w:val="005B51CE"/>
    <w:rsid w:val="005B5885"/>
    <w:rsid w:val="005B5CD7"/>
    <w:rsid w:val="005B6CF6"/>
    <w:rsid w:val="005B7422"/>
    <w:rsid w:val="005C0CDF"/>
    <w:rsid w:val="005C29B8"/>
    <w:rsid w:val="005C34A4"/>
    <w:rsid w:val="005C5F21"/>
    <w:rsid w:val="005C7156"/>
    <w:rsid w:val="005D0867"/>
    <w:rsid w:val="005D0C75"/>
    <w:rsid w:val="005D1996"/>
    <w:rsid w:val="005D2A7C"/>
    <w:rsid w:val="005D4171"/>
    <w:rsid w:val="005D6A95"/>
    <w:rsid w:val="005D6B2C"/>
    <w:rsid w:val="005D6D9C"/>
    <w:rsid w:val="005E2335"/>
    <w:rsid w:val="005E34CA"/>
    <w:rsid w:val="005E3C18"/>
    <w:rsid w:val="005E4250"/>
    <w:rsid w:val="005E4C64"/>
    <w:rsid w:val="005E51D8"/>
    <w:rsid w:val="005E577D"/>
    <w:rsid w:val="005E6812"/>
    <w:rsid w:val="005E7881"/>
    <w:rsid w:val="005E78E0"/>
    <w:rsid w:val="005F0D9C"/>
    <w:rsid w:val="005F284E"/>
    <w:rsid w:val="005F3779"/>
    <w:rsid w:val="006015CE"/>
    <w:rsid w:val="00604784"/>
    <w:rsid w:val="00606419"/>
    <w:rsid w:val="00607D29"/>
    <w:rsid w:val="006107EB"/>
    <w:rsid w:val="0061234E"/>
    <w:rsid w:val="00612952"/>
    <w:rsid w:val="00614CC1"/>
    <w:rsid w:val="00615224"/>
    <w:rsid w:val="00615A9D"/>
    <w:rsid w:val="00617387"/>
    <w:rsid w:val="006205D6"/>
    <w:rsid w:val="006252D8"/>
    <w:rsid w:val="006259BC"/>
    <w:rsid w:val="0062636B"/>
    <w:rsid w:val="00626D0E"/>
    <w:rsid w:val="00632182"/>
    <w:rsid w:val="00632AE0"/>
    <w:rsid w:val="00633C17"/>
    <w:rsid w:val="00634D6A"/>
    <w:rsid w:val="00634D9E"/>
    <w:rsid w:val="00636E3E"/>
    <w:rsid w:val="006379F7"/>
    <w:rsid w:val="00637E4D"/>
    <w:rsid w:val="00640620"/>
    <w:rsid w:val="00641A1F"/>
    <w:rsid w:val="00645904"/>
    <w:rsid w:val="006470F8"/>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4656"/>
    <w:rsid w:val="006752AD"/>
    <w:rsid w:val="006770F4"/>
    <w:rsid w:val="00677A84"/>
    <w:rsid w:val="0068026D"/>
    <w:rsid w:val="00680A27"/>
    <w:rsid w:val="006816A4"/>
    <w:rsid w:val="006819B8"/>
    <w:rsid w:val="00683BD4"/>
    <w:rsid w:val="006840A6"/>
    <w:rsid w:val="006850CD"/>
    <w:rsid w:val="00685AAB"/>
    <w:rsid w:val="00691BBE"/>
    <w:rsid w:val="006A07AA"/>
    <w:rsid w:val="006A1C34"/>
    <w:rsid w:val="006A25E5"/>
    <w:rsid w:val="006A2B46"/>
    <w:rsid w:val="006A336D"/>
    <w:rsid w:val="006A37B9"/>
    <w:rsid w:val="006A4F8B"/>
    <w:rsid w:val="006A754C"/>
    <w:rsid w:val="006B2672"/>
    <w:rsid w:val="006B54BF"/>
    <w:rsid w:val="006B5F44"/>
    <w:rsid w:val="006B5F90"/>
    <w:rsid w:val="006B62E4"/>
    <w:rsid w:val="006C0E14"/>
    <w:rsid w:val="006C1162"/>
    <w:rsid w:val="006C1BBA"/>
    <w:rsid w:val="006C2079"/>
    <w:rsid w:val="006C5A62"/>
    <w:rsid w:val="006C5D68"/>
    <w:rsid w:val="006C6976"/>
    <w:rsid w:val="006C6DD0"/>
    <w:rsid w:val="006D04EA"/>
    <w:rsid w:val="006D0815"/>
    <w:rsid w:val="006D16C4"/>
    <w:rsid w:val="006D3E96"/>
    <w:rsid w:val="006D4515"/>
    <w:rsid w:val="006D4BB1"/>
    <w:rsid w:val="006D6593"/>
    <w:rsid w:val="006E5294"/>
    <w:rsid w:val="006E62FD"/>
    <w:rsid w:val="006F03A8"/>
    <w:rsid w:val="006F12CA"/>
    <w:rsid w:val="006F1398"/>
    <w:rsid w:val="006F2ACA"/>
    <w:rsid w:val="006F2ADC"/>
    <w:rsid w:val="006F2BFE"/>
    <w:rsid w:val="006F2CAB"/>
    <w:rsid w:val="006F31E9"/>
    <w:rsid w:val="006F6284"/>
    <w:rsid w:val="007002C5"/>
    <w:rsid w:val="00704387"/>
    <w:rsid w:val="00707669"/>
    <w:rsid w:val="00711CBA"/>
    <w:rsid w:val="00711FB5"/>
    <w:rsid w:val="00712A01"/>
    <w:rsid w:val="00714770"/>
    <w:rsid w:val="00714F58"/>
    <w:rsid w:val="00722FBF"/>
    <w:rsid w:val="00722FC2"/>
    <w:rsid w:val="00723BC7"/>
    <w:rsid w:val="00724E1B"/>
    <w:rsid w:val="00725949"/>
    <w:rsid w:val="007268AE"/>
    <w:rsid w:val="00727FA2"/>
    <w:rsid w:val="007322D9"/>
    <w:rsid w:val="00732765"/>
    <w:rsid w:val="00732BC0"/>
    <w:rsid w:val="0073720F"/>
    <w:rsid w:val="00737796"/>
    <w:rsid w:val="0074165C"/>
    <w:rsid w:val="00742C35"/>
    <w:rsid w:val="007432CA"/>
    <w:rsid w:val="007439EB"/>
    <w:rsid w:val="00743CB4"/>
    <w:rsid w:val="00743F0A"/>
    <w:rsid w:val="007444E8"/>
    <w:rsid w:val="0074548E"/>
    <w:rsid w:val="00745773"/>
    <w:rsid w:val="00746800"/>
    <w:rsid w:val="00750095"/>
    <w:rsid w:val="007501A8"/>
    <w:rsid w:val="00750D61"/>
    <w:rsid w:val="00750EE1"/>
    <w:rsid w:val="00751399"/>
    <w:rsid w:val="00752B4D"/>
    <w:rsid w:val="00755402"/>
    <w:rsid w:val="00756B26"/>
    <w:rsid w:val="00756EDF"/>
    <w:rsid w:val="007600E3"/>
    <w:rsid w:val="0076405B"/>
    <w:rsid w:val="00765C43"/>
    <w:rsid w:val="00765EFB"/>
    <w:rsid w:val="007671CA"/>
    <w:rsid w:val="00767C61"/>
    <w:rsid w:val="0077008A"/>
    <w:rsid w:val="00773C1F"/>
    <w:rsid w:val="00774DA4"/>
    <w:rsid w:val="00776599"/>
    <w:rsid w:val="0077766B"/>
    <w:rsid w:val="00780F56"/>
    <w:rsid w:val="0078114B"/>
    <w:rsid w:val="00781DD2"/>
    <w:rsid w:val="00781F44"/>
    <w:rsid w:val="00782FC6"/>
    <w:rsid w:val="00783ECF"/>
    <w:rsid w:val="0078413A"/>
    <w:rsid w:val="00786CC6"/>
    <w:rsid w:val="00791B2C"/>
    <w:rsid w:val="00793E12"/>
    <w:rsid w:val="007959E8"/>
    <w:rsid w:val="00795E9C"/>
    <w:rsid w:val="007A0521"/>
    <w:rsid w:val="007A2808"/>
    <w:rsid w:val="007A2E12"/>
    <w:rsid w:val="007A3475"/>
    <w:rsid w:val="007A41C8"/>
    <w:rsid w:val="007A471C"/>
    <w:rsid w:val="007A54CE"/>
    <w:rsid w:val="007A6ACC"/>
    <w:rsid w:val="007A6FD9"/>
    <w:rsid w:val="007A7FFA"/>
    <w:rsid w:val="007B04EB"/>
    <w:rsid w:val="007B0D4F"/>
    <w:rsid w:val="007B5A3D"/>
    <w:rsid w:val="007B5B95"/>
    <w:rsid w:val="007B6032"/>
    <w:rsid w:val="007B68EA"/>
    <w:rsid w:val="007B7453"/>
    <w:rsid w:val="007C107E"/>
    <w:rsid w:val="007C12CF"/>
    <w:rsid w:val="007C2D89"/>
    <w:rsid w:val="007C3038"/>
    <w:rsid w:val="007C4593"/>
    <w:rsid w:val="007C5309"/>
    <w:rsid w:val="007C6069"/>
    <w:rsid w:val="007D06C4"/>
    <w:rsid w:val="007D1352"/>
    <w:rsid w:val="007D2508"/>
    <w:rsid w:val="007D346A"/>
    <w:rsid w:val="007D6518"/>
    <w:rsid w:val="007D76BD"/>
    <w:rsid w:val="007E0631"/>
    <w:rsid w:val="007E06E5"/>
    <w:rsid w:val="007E0BF1"/>
    <w:rsid w:val="007E70A8"/>
    <w:rsid w:val="007F0ED8"/>
    <w:rsid w:val="007F0F63"/>
    <w:rsid w:val="007F2C1E"/>
    <w:rsid w:val="007F39D0"/>
    <w:rsid w:val="007F75CE"/>
    <w:rsid w:val="008013A4"/>
    <w:rsid w:val="008027CE"/>
    <w:rsid w:val="00802F42"/>
    <w:rsid w:val="00804383"/>
    <w:rsid w:val="00804BB7"/>
    <w:rsid w:val="00804D41"/>
    <w:rsid w:val="00810257"/>
    <w:rsid w:val="0081040F"/>
    <w:rsid w:val="008104F5"/>
    <w:rsid w:val="00811072"/>
    <w:rsid w:val="00811369"/>
    <w:rsid w:val="00815419"/>
    <w:rsid w:val="008163C8"/>
    <w:rsid w:val="008164A1"/>
    <w:rsid w:val="00817325"/>
    <w:rsid w:val="008209E6"/>
    <w:rsid w:val="00822FE2"/>
    <w:rsid w:val="00823303"/>
    <w:rsid w:val="008233B2"/>
    <w:rsid w:val="00823A9F"/>
    <w:rsid w:val="00823C85"/>
    <w:rsid w:val="00825138"/>
    <w:rsid w:val="008269DD"/>
    <w:rsid w:val="00830621"/>
    <w:rsid w:val="0083188E"/>
    <w:rsid w:val="0083348C"/>
    <w:rsid w:val="00834CBE"/>
    <w:rsid w:val="008350AA"/>
    <w:rsid w:val="008373D3"/>
    <w:rsid w:val="00840617"/>
    <w:rsid w:val="00840F84"/>
    <w:rsid w:val="00841AF4"/>
    <w:rsid w:val="00842A47"/>
    <w:rsid w:val="00843C13"/>
    <w:rsid w:val="008454F8"/>
    <w:rsid w:val="00847EC2"/>
    <w:rsid w:val="0085173A"/>
    <w:rsid w:val="008603CE"/>
    <w:rsid w:val="008620FC"/>
    <w:rsid w:val="008627A5"/>
    <w:rsid w:val="0086343B"/>
    <w:rsid w:val="00863465"/>
    <w:rsid w:val="00863E05"/>
    <w:rsid w:val="00863E51"/>
    <w:rsid w:val="00865ACA"/>
    <w:rsid w:val="00865B20"/>
    <w:rsid w:val="00865D28"/>
    <w:rsid w:val="00865F85"/>
    <w:rsid w:val="00867C10"/>
    <w:rsid w:val="00870439"/>
    <w:rsid w:val="00870A11"/>
    <w:rsid w:val="00870DA1"/>
    <w:rsid w:val="0087161E"/>
    <w:rsid w:val="008722F0"/>
    <w:rsid w:val="00883F93"/>
    <w:rsid w:val="00884DB3"/>
    <w:rsid w:val="00885A9D"/>
    <w:rsid w:val="008864F6"/>
    <w:rsid w:val="0089049D"/>
    <w:rsid w:val="008928C9"/>
    <w:rsid w:val="008930CB"/>
    <w:rsid w:val="008938DC"/>
    <w:rsid w:val="00893FD1"/>
    <w:rsid w:val="00894836"/>
    <w:rsid w:val="00895172"/>
    <w:rsid w:val="00895680"/>
    <w:rsid w:val="00895859"/>
    <w:rsid w:val="00896DFF"/>
    <w:rsid w:val="0089762C"/>
    <w:rsid w:val="008A1064"/>
    <w:rsid w:val="008A173B"/>
    <w:rsid w:val="008A1893"/>
    <w:rsid w:val="008A33FF"/>
    <w:rsid w:val="008A57E6"/>
    <w:rsid w:val="008A6F81"/>
    <w:rsid w:val="008A769A"/>
    <w:rsid w:val="008B0C9C"/>
    <w:rsid w:val="008B166D"/>
    <w:rsid w:val="008B17F4"/>
    <w:rsid w:val="008B3615"/>
    <w:rsid w:val="008B4AC4"/>
    <w:rsid w:val="008B50C8"/>
    <w:rsid w:val="008B5281"/>
    <w:rsid w:val="008B5EBF"/>
    <w:rsid w:val="008B61CE"/>
    <w:rsid w:val="008B7295"/>
    <w:rsid w:val="008B7E05"/>
    <w:rsid w:val="008C1797"/>
    <w:rsid w:val="008C219C"/>
    <w:rsid w:val="008C475E"/>
    <w:rsid w:val="008C59FB"/>
    <w:rsid w:val="008C619A"/>
    <w:rsid w:val="008D0CE8"/>
    <w:rsid w:val="008D2D1D"/>
    <w:rsid w:val="008D41B6"/>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E777F"/>
    <w:rsid w:val="008F0A16"/>
    <w:rsid w:val="008F0CDC"/>
    <w:rsid w:val="008F17A3"/>
    <w:rsid w:val="008F1ED3"/>
    <w:rsid w:val="008F4C29"/>
    <w:rsid w:val="008F70BD"/>
    <w:rsid w:val="008F788F"/>
    <w:rsid w:val="008F7EA2"/>
    <w:rsid w:val="00902722"/>
    <w:rsid w:val="009027BC"/>
    <w:rsid w:val="00906008"/>
    <w:rsid w:val="009062E6"/>
    <w:rsid w:val="00911BE5"/>
    <w:rsid w:val="009122C7"/>
    <w:rsid w:val="00913CA9"/>
    <w:rsid w:val="009145AE"/>
    <w:rsid w:val="009146CE"/>
    <w:rsid w:val="00914CA7"/>
    <w:rsid w:val="00915C3E"/>
    <w:rsid w:val="009161A8"/>
    <w:rsid w:val="0091695A"/>
    <w:rsid w:val="009215D1"/>
    <w:rsid w:val="009245AE"/>
    <w:rsid w:val="009245F5"/>
    <w:rsid w:val="009249EC"/>
    <w:rsid w:val="009273B3"/>
    <w:rsid w:val="009274E4"/>
    <w:rsid w:val="009305B5"/>
    <w:rsid w:val="0093086A"/>
    <w:rsid w:val="009378DD"/>
    <w:rsid w:val="00942712"/>
    <w:rsid w:val="009429D5"/>
    <w:rsid w:val="00942BF1"/>
    <w:rsid w:val="00945180"/>
    <w:rsid w:val="00945428"/>
    <w:rsid w:val="0094607B"/>
    <w:rsid w:val="0094725D"/>
    <w:rsid w:val="009531AB"/>
    <w:rsid w:val="00953604"/>
    <w:rsid w:val="0095496B"/>
    <w:rsid w:val="00960F1E"/>
    <w:rsid w:val="009610DC"/>
    <w:rsid w:val="00961490"/>
    <w:rsid w:val="009622D1"/>
    <w:rsid w:val="0096381A"/>
    <w:rsid w:val="00965E04"/>
    <w:rsid w:val="009674AD"/>
    <w:rsid w:val="00970CDC"/>
    <w:rsid w:val="009743D1"/>
    <w:rsid w:val="0097448C"/>
    <w:rsid w:val="00975727"/>
    <w:rsid w:val="00977010"/>
    <w:rsid w:val="00977D02"/>
    <w:rsid w:val="00977FF9"/>
    <w:rsid w:val="009809BB"/>
    <w:rsid w:val="00982102"/>
    <w:rsid w:val="0098364B"/>
    <w:rsid w:val="00986123"/>
    <w:rsid w:val="009908A3"/>
    <w:rsid w:val="009911AF"/>
    <w:rsid w:val="00991875"/>
    <w:rsid w:val="00991F92"/>
    <w:rsid w:val="00992985"/>
    <w:rsid w:val="00993889"/>
    <w:rsid w:val="0099551B"/>
    <w:rsid w:val="00996BD2"/>
    <w:rsid w:val="00996EF4"/>
    <w:rsid w:val="00997BF1"/>
    <w:rsid w:val="009A089C"/>
    <w:rsid w:val="009A118E"/>
    <w:rsid w:val="009A21CD"/>
    <w:rsid w:val="009A243B"/>
    <w:rsid w:val="009A278C"/>
    <w:rsid w:val="009A2BC2"/>
    <w:rsid w:val="009A42C1"/>
    <w:rsid w:val="009A5429"/>
    <w:rsid w:val="009A72AD"/>
    <w:rsid w:val="009B09E0"/>
    <w:rsid w:val="009B0BC5"/>
    <w:rsid w:val="009B1247"/>
    <w:rsid w:val="009B2848"/>
    <w:rsid w:val="009B532A"/>
    <w:rsid w:val="009B6029"/>
    <w:rsid w:val="009B6971"/>
    <w:rsid w:val="009C27F1"/>
    <w:rsid w:val="009C3152"/>
    <w:rsid w:val="009C3257"/>
    <w:rsid w:val="009C4CFA"/>
    <w:rsid w:val="009C5070"/>
    <w:rsid w:val="009D0BF0"/>
    <w:rsid w:val="009D112C"/>
    <w:rsid w:val="009D1385"/>
    <w:rsid w:val="009D3B5A"/>
    <w:rsid w:val="009D47FA"/>
    <w:rsid w:val="009D4C5B"/>
    <w:rsid w:val="009D50D2"/>
    <w:rsid w:val="009D6BCA"/>
    <w:rsid w:val="009E0F62"/>
    <w:rsid w:val="009E1D8D"/>
    <w:rsid w:val="009E4A58"/>
    <w:rsid w:val="009E5A2D"/>
    <w:rsid w:val="009E5AB2"/>
    <w:rsid w:val="009E6219"/>
    <w:rsid w:val="009F03B3"/>
    <w:rsid w:val="009F672C"/>
    <w:rsid w:val="009F748E"/>
    <w:rsid w:val="00A0096C"/>
    <w:rsid w:val="00A01757"/>
    <w:rsid w:val="00A028C0"/>
    <w:rsid w:val="00A02BAE"/>
    <w:rsid w:val="00A06A6B"/>
    <w:rsid w:val="00A0704E"/>
    <w:rsid w:val="00A07E47"/>
    <w:rsid w:val="00A1124C"/>
    <w:rsid w:val="00A129D0"/>
    <w:rsid w:val="00A12C33"/>
    <w:rsid w:val="00A132AE"/>
    <w:rsid w:val="00A138BA"/>
    <w:rsid w:val="00A14C8E"/>
    <w:rsid w:val="00A153D9"/>
    <w:rsid w:val="00A15F09"/>
    <w:rsid w:val="00A169B6"/>
    <w:rsid w:val="00A2271D"/>
    <w:rsid w:val="00A237D5"/>
    <w:rsid w:val="00A30141"/>
    <w:rsid w:val="00A30EFC"/>
    <w:rsid w:val="00A31984"/>
    <w:rsid w:val="00A32D73"/>
    <w:rsid w:val="00A3367B"/>
    <w:rsid w:val="00A3597D"/>
    <w:rsid w:val="00A36DD1"/>
    <w:rsid w:val="00A4006C"/>
    <w:rsid w:val="00A40091"/>
    <w:rsid w:val="00A4030F"/>
    <w:rsid w:val="00A40510"/>
    <w:rsid w:val="00A41B21"/>
    <w:rsid w:val="00A41C79"/>
    <w:rsid w:val="00A41CB5"/>
    <w:rsid w:val="00A41F94"/>
    <w:rsid w:val="00A42966"/>
    <w:rsid w:val="00A42CDF"/>
    <w:rsid w:val="00A4452E"/>
    <w:rsid w:val="00A4472C"/>
    <w:rsid w:val="00A44E69"/>
    <w:rsid w:val="00A4661E"/>
    <w:rsid w:val="00A55BD6"/>
    <w:rsid w:val="00A55D50"/>
    <w:rsid w:val="00A57142"/>
    <w:rsid w:val="00A648CD"/>
    <w:rsid w:val="00A6537A"/>
    <w:rsid w:val="00A67866"/>
    <w:rsid w:val="00A70B07"/>
    <w:rsid w:val="00A723F8"/>
    <w:rsid w:val="00A761C4"/>
    <w:rsid w:val="00A77CCB"/>
    <w:rsid w:val="00A83D8D"/>
    <w:rsid w:val="00A8446B"/>
    <w:rsid w:val="00A8473F"/>
    <w:rsid w:val="00A862D6"/>
    <w:rsid w:val="00A8715E"/>
    <w:rsid w:val="00A90939"/>
    <w:rsid w:val="00A9295B"/>
    <w:rsid w:val="00A93B09"/>
    <w:rsid w:val="00A952D7"/>
    <w:rsid w:val="00A963F7"/>
    <w:rsid w:val="00A96AD8"/>
    <w:rsid w:val="00AA052C"/>
    <w:rsid w:val="00AA124D"/>
    <w:rsid w:val="00AA1E45"/>
    <w:rsid w:val="00AA4286"/>
    <w:rsid w:val="00AA456B"/>
    <w:rsid w:val="00AA57F5"/>
    <w:rsid w:val="00AA672E"/>
    <w:rsid w:val="00AA6EC9"/>
    <w:rsid w:val="00AA7DAB"/>
    <w:rsid w:val="00AB6309"/>
    <w:rsid w:val="00AB6C5F"/>
    <w:rsid w:val="00AB7129"/>
    <w:rsid w:val="00AC1CBB"/>
    <w:rsid w:val="00AC27A6"/>
    <w:rsid w:val="00AC30F7"/>
    <w:rsid w:val="00AC3A5A"/>
    <w:rsid w:val="00AC4D95"/>
    <w:rsid w:val="00AC5DF4"/>
    <w:rsid w:val="00AD08EE"/>
    <w:rsid w:val="00AD0AEF"/>
    <w:rsid w:val="00AD11B7"/>
    <w:rsid w:val="00AD1A94"/>
    <w:rsid w:val="00AD1C05"/>
    <w:rsid w:val="00AD3F1A"/>
    <w:rsid w:val="00AD4126"/>
    <w:rsid w:val="00AD421C"/>
    <w:rsid w:val="00AD44FA"/>
    <w:rsid w:val="00AD6FA9"/>
    <w:rsid w:val="00AD7697"/>
    <w:rsid w:val="00AE047E"/>
    <w:rsid w:val="00AE05DC"/>
    <w:rsid w:val="00AE070A"/>
    <w:rsid w:val="00AE101C"/>
    <w:rsid w:val="00AE26DD"/>
    <w:rsid w:val="00AE2A69"/>
    <w:rsid w:val="00AE37E5"/>
    <w:rsid w:val="00AE5EB4"/>
    <w:rsid w:val="00AF0C18"/>
    <w:rsid w:val="00AF2ADC"/>
    <w:rsid w:val="00AF47C5"/>
    <w:rsid w:val="00AF5398"/>
    <w:rsid w:val="00AF7EEC"/>
    <w:rsid w:val="00B01E37"/>
    <w:rsid w:val="00B03FE2"/>
    <w:rsid w:val="00B049AF"/>
    <w:rsid w:val="00B05BA0"/>
    <w:rsid w:val="00B06EDF"/>
    <w:rsid w:val="00B07242"/>
    <w:rsid w:val="00B10534"/>
    <w:rsid w:val="00B113DB"/>
    <w:rsid w:val="00B11D8A"/>
    <w:rsid w:val="00B12981"/>
    <w:rsid w:val="00B147DD"/>
    <w:rsid w:val="00B156FD"/>
    <w:rsid w:val="00B21F61"/>
    <w:rsid w:val="00B253A6"/>
    <w:rsid w:val="00B261F1"/>
    <w:rsid w:val="00B265BC"/>
    <w:rsid w:val="00B313FE"/>
    <w:rsid w:val="00B31FB1"/>
    <w:rsid w:val="00B33952"/>
    <w:rsid w:val="00B33C5E"/>
    <w:rsid w:val="00B342F4"/>
    <w:rsid w:val="00B34369"/>
    <w:rsid w:val="00B34DC2"/>
    <w:rsid w:val="00B378E5"/>
    <w:rsid w:val="00B4346D"/>
    <w:rsid w:val="00B4367B"/>
    <w:rsid w:val="00B440F4"/>
    <w:rsid w:val="00B447A5"/>
    <w:rsid w:val="00B4654C"/>
    <w:rsid w:val="00B47293"/>
    <w:rsid w:val="00B47328"/>
    <w:rsid w:val="00B50E50"/>
    <w:rsid w:val="00B52120"/>
    <w:rsid w:val="00B52152"/>
    <w:rsid w:val="00B54162"/>
    <w:rsid w:val="00B54ABC"/>
    <w:rsid w:val="00B54EA4"/>
    <w:rsid w:val="00B56FBE"/>
    <w:rsid w:val="00B5712E"/>
    <w:rsid w:val="00B57857"/>
    <w:rsid w:val="00B57C9E"/>
    <w:rsid w:val="00B60ACF"/>
    <w:rsid w:val="00B62B58"/>
    <w:rsid w:val="00B65149"/>
    <w:rsid w:val="00B66567"/>
    <w:rsid w:val="00B66F52"/>
    <w:rsid w:val="00B66FE5"/>
    <w:rsid w:val="00B71166"/>
    <w:rsid w:val="00B72880"/>
    <w:rsid w:val="00B730C0"/>
    <w:rsid w:val="00B758BF"/>
    <w:rsid w:val="00B77EC8"/>
    <w:rsid w:val="00B827A6"/>
    <w:rsid w:val="00B831CE"/>
    <w:rsid w:val="00B85844"/>
    <w:rsid w:val="00B86677"/>
    <w:rsid w:val="00B86728"/>
    <w:rsid w:val="00B87131"/>
    <w:rsid w:val="00B939B1"/>
    <w:rsid w:val="00B960E0"/>
    <w:rsid w:val="00B96D40"/>
    <w:rsid w:val="00B97063"/>
    <w:rsid w:val="00B97386"/>
    <w:rsid w:val="00BA07D1"/>
    <w:rsid w:val="00BA209F"/>
    <w:rsid w:val="00BA263B"/>
    <w:rsid w:val="00BA2656"/>
    <w:rsid w:val="00BA3D5C"/>
    <w:rsid w:val="00BA42B2"/>
    <w:rsid w:val="00BA58D4"/>
    <w:rsid w:val="00BA5B9E"/>
    <w:rsid w:val="00BA7C9A"/>
    <w:rsid w:val="00BB5F8F"/>
    <w:rsid w:val="00BB60BF"/>
    <w:rsid w:val="00BB657A"/>
    <w:rsid w:val="00BB7B97"/>
    <w:rsid w:val="00BC1A4E"/>
    <w:rsid w:val="00BC5DC7"/>
    <w:rsid w:val="00BC6B8B"/>
    <w:rsid w:val="00BC73D8"/>
    <w:rsid w:val="00BD52D7"/>
    <w:rsid w:val="00BD5AD2"/>
    <w:rsid w:val="00BE22F3"/>
    <w:rsid w:val="00BE5B52"/>
    <w:rsid w:val="00BE5BB2"/>
    <w:rsid w:val="00BE7B8D"/>
    <w:rsid w:val="00BF0993"/>
    <w:rsid w:val="00BF10A9"/>
    <w:rsid w:val="00BF1703"/>
    <w:rsid w:val="00BF231C"/>
    <w:rsid w:val="00BF4EC1"/>
    <w:rsid w:val="00BF51E5"/>
    <w:rsid w:val="00BF74A6"/>
    <w:rsid w:val="00C0107E"/>
    <w:rsid w:val="00C013AD"/>
    <w:rsid w:val="00C01702"/>
    <w:rsid w:val="00C0416E"/>
    <w:rsid w:val="00C04904"/>
    <w:rsid w:val="00C056B3"/>
    <w:rsid w:val="00C103E5"/>
    <w:rsid w:val="00C1063B"/>
    <w:rsid w:val="00C11B0C"/>
    <w:rsid w:val="00C13319"/>
    <w:rsid w:val="00C13EE9"/>
    <w:rsid w:val="00C15429"/>
    <w:rsid w:val="00C21540"/>
    <w:rsid w:val="00C21906"/>
    <w:rsid w:val="00C21BFA"/>
    <w:rsid w:val="00C232AD"/>
    <w:rsid w:val="00C24C8D"/>
    <w:rsid w:val="00C25FE2"/>
    <w:rsid w:val="00C26B53"/>
    <w:rsid w:val="00C273F1"/>
    <w:rsid w:val="00C279B2"/>
    <w:rsid w:val="00C32AA2"/>
    <w:rsid w:val="00C33E50"/>
    <w:rsid w:val="00C34C20"/>
    <w:rsid w:val="00C35A3E"/>
    <w:rsid w:val="00C42130"/>
    <w:rsid w:val="00C423A4"/>
    <w:rsid w:val="00C423E3"/>
    <w:rsid w:val="00C44BF5"/>
    <w:rsid w:val="00C4555B"/>
    <w:rsid w:val="00C47FB8"/>
    <w:rsid w:val="00C521D6"/>
    <w:rsid w:val="00C55232"/>
    <w:rsid w:val="00C553A4"/>
    <w:rsid w:val="00C55A06"/>
    <w:rsid w:val="00C55D03"/>
    <w:rsid w:val="00C601BC"/>
    <w:rsid w:val="00C6329F"/>
    <w:rsid w:val="00C63340"/>
    <w:rsid w:val="00C643F9"/>
    <w:rsid w:val="00C64E95"/>
    <w:rsid w:val="00C6685F"/>
    <w:rsid w:val="00C66A70"/>
    <w:rsid w:val="00C71372"/>
    <w:rsid w:val="00C72410"/>
    <w:rsid w:val="00C7287F"/>
    <w:rsid w:val="00C73E45"/>
    <w:rsid w:val="00C80CB8"/>
    <w:rsid w:val="00C819F8"/>
    <w:rsid w:val="00C8248C"/>
    <w:rsid w:val="00C84E33"/>
    <w:rsid w:val="00C86D6F"/>
    <w:rsid w:val="00C90512"/>
    <w:rsid w:val="00C905FC"/>
    <w:rsid w:val="00C916A6"/>
    <w:rsid w:val="00C92D03"/>
    <w:rsid w:val="00C9319C"/>
    <w:rsid w:val="00C9435D"/>
    <w:rsid w:val="00C94DF2"/>
    <w:rsid w:val="00C95827"/>
    <w:rsid w:val="00C96741"/>
    <w:rsid w:val="00CA01E4"/>
    <w:rsid w:val="00CA2D1B"/>
    <w:rsid w:val="00CA375D"/>
    <w:rsid w:val="00CA4A99"/>
    <w:rsid w:val="00CA662A"/>
    <w:rsid w:val="00CA7AFD"/>
    <w:rsid w:val="00CA7C3C"/>
    <w:rsid w:val="00CB0189"/>
    <w:rsid w:val="00CB0BA2"/>
    <w:rsid w:val="00CB0FA3"/>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1211"/>
    <w:rsid w:val="00CD2808"/>
    <w:rsid w:val="00CD28BF"/>
    <w:rsid w:val="00CD4092"/>
    <w:rsid w:val="00CD4A20"/>
    <w:rsid w:val="00CD50A1"/>
    <w:rsid w:val="00CD519E"/>
    <w:rsid w:val="00CE0C4F"/>
    <w:rsid w:val="00CE30EA"/>
    <w:rsid w:val="00CE42F1"/>
    <w:rsid w:val="00CF048A"/>
    <w:rsid w:val="00CF155A"/>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2A78"/>
    <w:rsid w:val="00D1489E"/>
    <w:rsid w:val="00D20737"/>
    <w:rsid w:val="00D21E81"/>
    <w:rsid w:val="00D223DE"/>
    <w:rsid w:val="00D25E37"/>
    <w:rsid w:val="00D2661A"/>
    <w:rsid w:val="00D27582"/>
    <w:rsid w:val="00D27EC4"/>
    <w:rsid w:val="00D303CA"/>
    <w:rsid w:val="00D32719"/>
    <w:rsid w:val="00D33333"/>
    <w:rsid w:val="00D352A2"/>
    <w:rsid w:val="00D4019C"/>
    <w:rsid w:val="00D4162B"/>
    <w:rsid w:val="00D4514F"/>
    <w:rsid w:val="00D451E2"/>
    <w:rsid w:val="00D45E89"/>
    <w:rsid w:val="00D45E8D"/>
    <w:rsid w:val="00D466AE"/>
    <w:rsid w:val="00D4734F"/>
    <w:rsid w:val="00D51BF3"/>
    <w:rsid w:val="00D55420"/>
    <w:rsid w:val="00D61DEF"/>
    <w:rsid w:val="00D6214A"/>
    <w:rsid w:val="00D6305E"/>
    <w:rsid w:val="00D66846"/>
    <w:rsid w:val="00D675FB"/>
    <w:rsid w:val="00D71F25"/>
    <w:rsid w:val="00D72A9C"/>
    <w:rsid w:val="00D72F38"/>
    <w:rsid w:val="00D76125"/>
    <w:rsid w:val="00D77031"/>
    <w:rsid w:val="00D84941"/>
    <w:rsid w:val="00D84FA1"/>
    <w:rsid w:val="00D851F0"/>
    <w:rsid w:val="00D86DB7"/>
    <w:rsid w:val="00D87BF5"/>
    <w:rsid w:val="00D90721"/>
    <w:rsid w:val="00D926D0"/>
    <w:rsid w:val="00D93030"/>
    <w:rsid w:val="00D950E1"/>
    <w:rsid w:val="00D952A6"/>
    <w:rsid w:val="00D9757B"/>
    <w:rsid w:val="00D97F99"/>
    <w:rsid w:val="00DA1E08"/>
    <w:rsid w:val="00DA24F8"/>
    <w:rsid w:val="00DA28E8"/>
    <w:rsid w:val="00DA38D3"/>
    <w:rsid w:val="00DA3932"/>
    <w:rsid w:val="00DA3AFC"/>
    <w:rsid w:val="00DA5760"/>
    <w:rsid w:val="00DA64F8"/>
    <w:rsid w:val="00DA6C15"/>
    <w:rsid w:val="00DA7DAC"/>
    <w:rsid w:val="00DB0258"/>
    <w:rsid w:val="00DB091C"/>
    <w:rsid w:val="00DB38EE"/>
    <w:rsid w:val="00DB498B"/>
    <w:rsid w:val="00DB4DD8"/>
    <w:rsid w:val="00DB66CA"/>
    <w:rsid w:val="00DB6BCA"/>
    <w:rsid w:val="00DB6F54"/>
    <w:rsid w:val="00DB73F7"/>
    <w:rsid w:val="00DB7671"/>
    <w:rsid w:val="00DB7B23"/>
    <w:rsid w:val="00DC0321"/>
    <w:rsid w:val="00DC3067"/>
    <w:rsid w:val="00DC370B"/>
    <w:rsid w:val="00DC5B90"/>
    <w:rsid w:val="00DD00FF"/>
    <w:rsid w:val="00DD0619"/>
    <w:rsid w:val="00DD07FB"/>
    <w:rsid w:val="00DD1A54"/>
    <w:rsid w:val="00DD25C6"/>
    <w:rsid w:val="00DD4FE5"/>
    <w:rsid w:val="00DD54B0"/>
    <w:rsid w:val="00DD57EE"/>
    <w:rsid w:val="00DD6BCC"/>
    <w:rsid w:val="00DE0A4B"/>
    <w:rsid w:val="00DE2410"/>
    <w:rsid w:val="00DE2939"/>
    <w:rsid w:val="00DE32C1"/>
    <w:rsid w:val="00DE6E81"/>
    <w:rsid w:val="00DE703F"/>
    <w:rsid w:val="00DE7595"/>
    <w:rsid w:val="00DF1961"/>
    <w:rsid w:val="00DF44DE"/>
    <w:rsid w:val="00E00F07"/>
    <w:rsid w:val="00E01138"/>
    <w:rsid w:val="00E022D0"/>
    <w:rsid w:val="00E02DFB"/>
    <w:rsid w:val="00E030F9"/>
    <w:rsid w:val="00E0311A"/>
    <w:rsid w:val="00E03138"/>
    <w:rsid w:val="00E06404"/>
    <w:rsid w:val="00E06788"/>
    <w:rsid w:val="00E07274"/>
    <w:rsid w:val="00E11A85"/>
    <w:rsid w:val="00E12495"/>
    <w:rsid w:val="00E15CCD"/>
    <w:rsid w:val="00E202EF"/>
    <w:rsid w:val="00E210B5"/>
    <w:rsid w:val="00E2552F"/>
    <w:rsid w:val="00E3137A"/>
    <w:rsid w:val="00E32CCF"/>
    <w:rsid w:val="00E34A98"/>
    <w:rsid w:val="00E35D1E"/>
    <w:rsid w:val="00E364F9"/>
    <w:rsid w:val="00E365FA"/>
    <w:rsid w:val="00E36789"/>
    <w:rsid w:val="00E37B0F"/>
    <w:rsid w:val="00E44A83"/>
    <w:rsid w:val="00E502C1"/>
    <w:rsid w:val="00E502DD"/>
    <w:rsid w:val="00E50D3A"/>
    <w:rsid w:val="00E51387"/>
    <w:rsid w:val="00E51E68"/>
    <w:rsid w:val="00E52EFD"/>
    <w:rsid w:val="00E5408A"/>
    <w:rsid w:val="00E56800"/>
    <w:rsid w:val="00E575E3"/>
    <w:rsid w:val="00E60C63"/>
    <w:rsid w:val="00E618CB"/>
    <w:rsid w:val="00E62FF9"/>
    <w:rsid w:val="00E635D6"/>
    <w:rsid w:val="00E639BC"/>
    <w:rsid w:val="00E64078"/>
    <w:rsid w:val="00E65839"/>
    <w:rsid w:val="00E664CC"/>
    <w:rsid w:val="00E66E46"/>
    <w:rsid w:val="00E66F3E"/>
    <w:rsid w:val="00E67812"/>
    <w:rsid w:val="00E70388"/>
    <w:rsid w:val="00E70F92"/>
    <w:rsid w:val="00E74313"/>
    <w:rsid w:val="00E74C54"/>
    <w:rsid w:val="00E7666F"/>
    <w:rsid w:val="00E76802"/>
    <w:rsid w:val="00E76CDA"/>
    <w:rsid w:val="00E77A03"/>
    <w:rsid w:val="00E822E8"/>
    <w:rsid w:val="00E82554"/>
    <w:rsid w:val="00E82606"/>
    <w:rsid w:val="00E831C1"/>
    <w:rsid w:val="00E836F0"/>
    <w:rsid w:val="00E846C8"/>
    <w:rsid w:val="00E84957"/>
    <w:rsid w:val="00E84A55"/>
    <w:rsid w:val="00E85BFF"/>
    <w:rsid w:val="00E86073"/>
    <w:rsid w:val="00E90391"/>
    <w:rsid w:val="00E906C2"/>
    <w:rsid w:val="00E9311F"/>
    <w:rsid w:val="00E934D1"/>
    <w:rsid w:val="00E94AF0"/>
    <w:rsid w:val="00E94BA9"/>
    <w:rsid w:val="00E95D13"/>
    <w:rsid w:val="00E95DD3"/>
    <w:rsid w:val="00E969D5"/>
    <w:rsid w:val="00EA20BA"/>
    <w:rsid w:val="00EA58D1"/>
    <w:rsid w:val="00EA61BC"/>
    <w:rsid w:val="00EA681A"/>
    <w:rsid w:val="00EA735B"/>
    <w:rsid w:val="00EB1E69"/>
    <w:rsid w:val="00EB2086"/>
    <w:rsid w:val="00EB31ED"/>
    <w:rsid w:val="00EB5EDF"/>
    <w:rsid w:val="00EB60FE"/>
    <w:rsid w:val="00EB744F"/>
    <w:rsid w:val="00EB74DB"/>
    <w:rsid w:val="00EC10B3"/>
    <w:rsid w:val="00EC5359"/>
    <w:rsid w:val="00EC562A"/>
    <w:rsid w:val="00EC776A"/>
    <w:rsid w:val="00ED067A"/>
    <w:rsid w:val="00ED0E52"/>
    <w:rsid w:val="00ED2B50"/>
    <w:rsid w:val="00ED3E15"/>
    <w:rsid w:val="00EE0350"/>
    <w:rsid w:val="00EE0719"/>
    <w:rsid w:val="00EE0E80"/>
    <w:rsid w:val="00EE2627"/>
    <w:rsid w:val="00EE4803"/>
    <w:rsid w:val="00EE613F"/>
    <w:rsid w:val="00EE7295"/>
    <w:rsid w:val="00EE7869"/>
    <w:rsid w:val="00EF054A"/>
    <w:rsid w:val="00EF3235"/>
    <w:rsid w:val="00EF3813"/>
    <w:rsid w:val="00EF5A42"/>
    <w:rsid w:val="00EF7E72"/>
    <w:rsid w:val="00F06D37"/>
    <w:rsid w:val="00F06D4F"/>
    <w:rsid w:val="00F07B9D"/>
    <w:rsid w:val="00F101F6"/>
    <w:rsid w:val="00F11586"/>
    <w:rsid w:val="00F1183B"/>
    <w:rsid w:val="00F11C9F"/>
    <w:rsid w:val="00F12263"/>
    <w:rsid w:val="00F1409D"/>
    <w:rsid w:val="00F14214"/>
    <w:rsid w:val="00F157A9"/>
    <w:rsid w:val="00F16F00"/>
    <w:rsid w:val="00F1754A"/>
    <w:rsid w:val="00F23266"/>
    <w:rsid w:val="00F25BB6"/>
    <w:rsid w:val="00F26B7E"/>
    <w:rsid w:val="00F27A3B"/>
    <w:rsid w:val="00F33817"/>
    <w:rsid w:val="00F37930"/>
    <w:rsid w:val="00F40C73"/>
    <w:rsid w:val="00F420D5"/>
    <w:rsid w:val="00F451EA"/>
    <w:rsid w:val="00F45447"/>
    <w:rsid w:val="00F456C6"/>
    <w:rsid w:val="00F4577B"/>
    <w:rsid w:val="00F46496"/>
    <w:rsid w:val="00F474D0"/>
    <w:rsid w:val="00F47A45"/>
    <w:rsid w:val="00F50179"/>
    <w:rsid w:val="00F515EE"/>
    <w:rsid w:val="00F56511"/>
    <w:rsid w:val="00F600F0"/>
    <w:rsid w:val="00F6194E"/>
    <w:rsid w:val="00F623AC"/>
    <w:rsid w:val="00F6412A"/>
    <w:rsid w:val="00F648AC"/>
    <w:rsid w:val="00F65893"/>
    <w:rsid w:val="00F66A4A"/>
    <w:rsid w:val="00F71E22"/>
    <w:rsid w:val="00F72142"/>
    <w:rsid w:val="00F72862"/>
    <w:rsid w:val="00F72AE7"/>
    <w:rsid w:val="00F769F9"/>
    <w:rsid w:val="00F779AA"/>
    <w:rsid w:val="00F833BA"/>
    <w:rsid w:val="00F84BD7"/>
    <w:rsid w:val="00F84FD0"/>
    <w:rsid w:val="00F859A8"/>
    <w:rsid w:val="00F86D87"/>
    <w:rsid w:val="00F9108B"/>
    <w:rsid w:val="00F91349"/>
    <w:rsid w:val="00F93A8A"/>
    <w:rsid w:val="00F95248"/>
    <w:rsid w:val="00F956A9"/>
    <w:rsid w:val="00F963ED"/>
    <w:rsid w:val="00F966CF"/>
    <w:rsid w:val="00F96CAE"/>
    <w:rsid w:val="00F97C99"/>
    <w:rsid w:val="00FA3736"/>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3225"/>
    <w:rsid w:val="00FD59EB"/>
    <w:rsid w:val="00FD7299"/>
    <w:rsid w:val="00FE1FBE"/>
    <w:rsid w:val="00FE28B9"/>
    <w:rsid w:val="00FE3901"/>
    <w:rsid w:val="00FE39D3"/>
    <w:rsid w:val="00FE4BCE"/>
    <w:rsid w:val="00FE54AE"/>
    <w:rsid w:val="00FE576A"/>
    <w:rsid w:val="00FE7E79"/>
    <w:rsid w:val="00FF3E7D"/>
    <w:rsid w:val="00FF5B99"/>
    <w:rsid w:val="00FF730C"/>
    <w:rsid w:val="00FF73F4"/>
    <w:rsid w:val="00FF7CE4"/>
    <w:rsid w:val="00FF7E39"/>
    <w:rsid w:val="02666B67"/>
    <w:rsid w:val="06466C6A"/>
    <w:rsid w:val="06605D01"/>
    <w:rsid w:val="0770438C"/>
    <w:rsid w:val="10A87B1C"/>
    <w:rsid w:val="112835E5"/>
    <w:rsid w:val="115C0CE5"/>
    <w:rsid w:val="13541895"/>
    <w:rsid w:val="13F8079D"/>
    <w:rsid w:val="153E36BE"/>
    <w:rsid w:val="15BC04AA"/>
    <w:rsid w:val="16EF5DE1"/>
    <w:rsid w:val="175D1945"/>
    <w:rsid w:val="19314B52"/>
    <w:rsid w:val="301D32E3"/>
    <w:rsid w:val="30F42AF7"/>
    <w:rsid w:val="311168B1"/>
    <w:rsid w:val="32B876D8"/>
    <w:rsid w:val="37A75E0A"/>
    <w:rsid w:val="37B74991"/>
    <w:rsid w:val="38874636"/>
    <w:rsid w:val="38FD63A7"/>
    <w:rsid w:val="39760596"/>
    <w:rsid w:val="407F1250"/>
    <w:rsid w:val="40CE724E"/>
    <w:rsid w:val="41A97EC4"/>
    <w:rsid w:val="46845A12"/>
    <w:rsid w:val="46A636F7"/>
    <w:rsid w:val="46AE5C1B"/>
    <w:rsid w:val="4755485D"/>
    <w:rsid w:val="487815A6"/>
    <w:rsid w:val="4DF00CB5"/>
    <w:rsid w:val="4E536867"/>
    <w:rsid w:val="50724F5B"/>
    <w:rsid w:val="507368BE"/>
    <w:rsid w:val="552C0EDB"/>
    <w:rsid w:val="55B81234"/>
    <w:rsid w:val="5825082B"/>
    <w:rsid w:val="5A486A7C"/>
    <w:rsid w:val="5B21162A"/>
    <w:rsid w:val="5D011713"/>
    <w:rsid w:val="65270184"/>
    <w:rsid w:val="683C3F47"/>
    <w:rsid w:val="687932B4"/>
    <w:rsid w:val="68EA4034"/>
    <w:rsid w:val="692E7997"/>
    <w:rsid w:val="6DFE1A00"/>
    <w:rsid w:val="6EB37C51"/>
    <w:rsid w:val="77B9612C"/>
    <w:rsid w:val="782822DD"/>
    <w:rsid w:val="793C1480"/>
    <w:rsid w:val="7A747570"/>
    <w:rsid w:val="7BBA0F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5"/>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6"/>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7"/>
    <w:autoRedefine/>
    <w:qFormat/>
    <w:uiPriority w:val="0"/>
    <w:pPr>
      <w:keepNext/>
      <w:keepLines/>
      <w:spacing w:before="260" w:after="260" w:line="416" w:lineRule="auto"/>
      <w:outlineLvl w:val="2"/>
    </w:pPr>
    <w:rPr>
      <w:b/>
      <w:bCs/>
      <w:sz w:val="32"/>
      <w:szCs w:val="32"/>
    </w:rPr>
  </w:style>
  <w:style w:type="paragraph" w:styleId="5">
    <w:name w:val="heading 4"/>
    <w:basedOn w:val="1"/>
    <w:next w:val="1"/>
    <w:link w:val="38"/>
    <w:autoRedefine/>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9"/>
    <w:autoRedefine/>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0"/>
    <w:autoRedefine/>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1"/>
    <w:autoRedefine/>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2"/>
    <w:autoRedefine/>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3"/>
    <w:autoRedefine/>
    <w:qFormat/>
    <w:uiPriority w:val="0"/>
    <w:pPr>
      <w:keepNext/>
      <w:keepLines/>
      <w:adjustRightInd/>
      <w:spacing w:before="240" w:after="64" w:line="320" w:lineRule="auto"/>
      <w:outlineLvl w:val="8"/>
    </w:pPr>
    <w:rPr>
      <w:rFonts w:ascii="Arial" w:hAnsi="Arial" w:eastAsia="黑体"/>
    </w:rPr>
  </w:style>
  <w:style w:type="character" w:default="1" w:styleId="29">
    <w:name w:val="Default Paragraph Font"/>
    <w:autoRedefine/>
    <w:semiHidden/>
    <w:unhideWhenUsed/>
    <w:qFormat/>
    <w:uiPriority w:val="1"/>
  </w:style>
  <w:style w:type="table" w:default="1" w:styleId="27">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autoRedefine/>
    <w:qFormat/>
    <w:uiPriority w:val="0"/>
    <w:pPr>
      <w:ind w:firstLine="420"/>
    </w:pPr>
  </w:style>
  <w:style w:type="paragraph" w:styleId="13">
    <w:name w:val="Body Text"/>
    <w:basedOn w:val="1"/>
    <w:link w:val="87"/>
    <w:autoRedefine/>
    <w:qFormat/>
    <w:uiPriority w:val="0"/>
    <w:pPr>
      <w:spacing w:after="120"/>
    </w:pPr>
  </w:style>
  <w:style w:type="paragraph" w:styleId="14">
    <w:name w:val="toc 5"/>
    <w:basedOn w:val="1"/>
    <w:next w:val="1"/>
    <w:autoRedefine/>
    <w:unhideWhenUsed/>
    <w:qFormat/>
    <w:uiPriority w:val="39"/>
    <w:pPr>
      <w:ind w:left="839"/>
    </w:pPr>
    <w:rPr>
      <w:rFonts w:ascii="宋体"/>
    </w:rPr>
  </w:style>
  <w:style w:type="paragraph" w:styleId="15">
    <w:name w:val="toc 3"/>
    <w:basedOn w:val="1"/>
    <w:next w:val="1"/>
    <w:autoRedefine/>
    <w:unhideWhenUsed/>
    <w:qFormat/>
    <w:uiPriority w:val="39"/>
    <w:pPr>
      <w:spacing w:line="300" w:lineRule="exact"/>
      <w:ind w:left="420"/>
    </w:pPr>
    <w:rPr>
      <w:rFonts w:ascii="宋体"/>
    </w:rPr>
  </w:style>
  <w:style w:type="paragraph" w:styleId="16">
    <w:name w:val="Balloon Text"/>
    <w:basedOn w:val="1"/>
    <w:link w:val="46"/>
    <w:autoRedefine/>
    <w:semiHidden/>
    <w:unhideWhenUsed/>
    <w:qFormat/>
    <w:uiPriority w:val="99"/>
    <w:rPr>
      <w:sz w:val="18"/>
      <w:szCs w:val="18"/>
    </w:rPr>
  </w:style>
  <w:style w:type="paragraph" w:styleId="17">
    <w:name w:val="footer"/>
    <w:basedOn w:val="1"/>
    <w:link w:val="45"/>
    <w:autoRedefine/>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4"/>
    <w:autoRedefine/>
    <w:qFormat/>
    <w:uiPriority w:val="99"/>
    <w:pPr>
      <w:tabs>
        <w:tab w:val="center" w:pos="4153"/>
        <w:tab w:val="right" w:pos="8306"/>
      </w:tabs>
      <w:adjustRightInd/>
      <w:snapToGrid w:val="0"/>
      <w:jc w:val="center"/>
    </w:pPr>
    <w:rPr>
      <w:sz w:val="18"/>
      <w:szCs w:val="18"/>
    </w:rPr>
  </w:style>
  <w:style w:type="paragraph" w:styleId="19">
    <w:name w:val="toc 1"/>
    <w:basedOn w:val="1"/>
    <w:next w:val="1"/>
    <w:autoRedefine/>
    <w:unhideWhenUsed/>
    <w:qFormat/>
    <w:uiPriority w:val="39"/>
    <w:rPr>
      <w:rFonts w:ascii="宋体"/>
    </w:rPr>
  </w:style>
  <w:style w:type="paragraph" w:styleId="20">
    <w:name w:val="toc 4"/>
    <w:basedOn w:val="1"/>
    <w:next w:val="1"/>
    <w:autoRedefine/>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100"/>
    <w:autoRedefine/>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autoRedefine/>
    <w:unhideWhenUsed/>
    <w:qFormat/>
    <w:uiPriority w:val="39"/>
    <w:pPr>
      <w:spacing w:line="300" w:lineRule="exact"/>
      <w:ind w:left="1049"/>
    </w:pPr>
    <w:rPr>
      <w:rFonts w:ascii="宋体"/>
    </w:rPr>
  </w:style>
  <w:style w:type="paragraph" w:styleId="23">
    <w:name w:val="table of figures"/>
    <w:basedOn w:val="1"/>
    <w:next w:val="1"/>
    <w:autoRedefine/>
    <w:semiHidden/>
    <w:qFormat/>
    <w:uiPriority w:val="0"/>
    <w:pPr>
      <w:adjustRightInd/>
      <w:spacing w:line="240" w:lineRule="auto"/>
      <w:jc w:val="left"/>
    </w:pPr>
    <w:rPr>
      <w:szCs w:val="24"/>
    </w:rPr>
  </w:style>
  <w:style w:type="paragraph" w:styleId="24">
    <w:name w:val="toc 2"/>
    <w:basedOn w:val="1"/>
    <w:next w:val="1"/>
    <w:autoRedefine/>
    <w:unhideWhenUsed/>
    <w:qFormat/>
    <w:uiPriority w:val="39"/>
    <w:pPr>
      <w:tabs>
        <w:tab w:val="right" w:leader="dot" w:pos="9344"/>
      </w:tabs>
      <w:spacing w:line="300" w:lineRule="exact"/>
      <w:ind w:left="210"/>
    </w:pPr>
    <w:rPr>
      <w:rFonts w:ascii="宋体"/>
    </w:rPr>
  </w:style>
  <w:style w:type="paragraph" w:styleId="25">
    <w:name w:val="Normal (Web)"/>
    <w:basedOn w:val="1"/>
    <w:autoRedefine/>
    <w:unhideWhenUsed/>
    <w:qFormat/>
    <w:uiPriority w:val="0"/>
    <w:rPr>
      <w:rFonts w:ascii="Times New Roman" w:hAnsi="Times New Roman"/>
      <w:sz w:val="24"/>
      <w:szCs w:val="24"/>
    </w:rPr>
  </w:style>
  <w:style w:type="paragraph" w:styleId="26">
    <w:name w:val="Title"/>
    <w:basedOn w:val="1"/>
    <w:link w:val="49"/>
    <w:autoRedefine/>
    <w:qFormat/>
    <w:uiPriority w:val="0"/>
    <w:pPr>
      <w:spacing w:before="240" w:after="60"/>
      <w:jc w:val="center"/>
      <w:outlineLvl w:val="0"/>
    </w:pPr>
    <w:rPr>
      <w:rFonts w:ascii="Arial" w:hAnsi="Arial" w:cs="Arial"/>
      <w:b/>
      <w:bCs/>
      <w:sz w:val="32"/>
      <w:szCs w:val="32"/>
    </w:rPr>
  </w:style>
  <w:style w:type="table" w:styleId="28">
    <w:name w:val="Table Grid"/>
    <w:basedOn w:val="27"/>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autoRedefine/>
    <w:qFormat/>
    <w:uiPriority w:val="22"/>
    <w:rPr>
      <w:b/>
      <w:bCs/>
    </w:rPr>
  </w:style>
  <w:style w:type="character" w:styleId="31">
    <w:name w:val="page number"/>
    <w:autoRedefine/>
    <w:qFormat/>
    <w:uiPriority w:val="0"/>
    <w:rPr>
      <w:rFonts w:ascii="宋体" w:hAnsi="Times New Roman" w:eastAsia="宋体"/>
      <w:sz w:val="18"/>
    </w:rPr>
  </w:style>
  <w:style w:type="character" w:styleId="32">
    <w:name w:val="Emphasis"/>
    <w:autoRedefine/>
    <w:qFormat/>
    <w:uiPriority w:val="20"/>
    <w:rPr>
      <w:i/>
      <w:iCs/>
    </w:rPr>
  </w:style>
  <w:style w:type="character" w:styleId="33">
    <w:name w:val="Hyperlink"/>
    <w:autoRedefine/>
    <w:qFormat/>
    <w:uiPriority w:val="99"/>
    <w:rPr>
      <w:rFonts w:ascii="宋体" w:hAnsi="Times New Roman" w:eastAsia="宋体"/>
      <w:color w:val="auto"/>
      <w:spacing w:val="0"/>
      <w:w w:val="100"/>
      <w:position w:val="0"/>
      <w:sz w:val="21"/>
      <w:u w:val="none"/>
      <w:vertAlign w:val="baseline"/>
    </w:rPr>
  </w:style>
  <w:style w:type="character" w:styleId="34">
    <w:name w:val="footnote reference"/>
    <w:autoRedefine/>
    <w:semiHidden/>
    <w:qFormat/>
    <w:uiPriority w:val="0"/>
    <w:rPr>
      <w:rFonts w:ascii="宋体" w:hAnsi="宋体" w:eastAsia="宋体" w:cs="Times New Roman"/>
      <w:spacing w:val="0"/>
      <w:sz w:val="18"/>
      <w:vertAlign w:val="superscript"/>
    </w:rPr>
  </w:style>
  <w:style w:type="character" w:customStyle="1" w:styleId="35">
    <w:name w:val="标题 1 字符"/>
    <w:link w:val="2"/>
    <w:autoRedefine/>
    <w:qFormat/>
    <w:uiPriority w:val="0"/>
    <w:rPr>
      <w:rFonts w:ascii="Times New Roman" w:hAnsi="Times New Roman" w:eastAsia="宋体" w:cs="Times New Roman"/>
      <w:b/>
      <w:bCs/>
      <w:kern w:val="44"/>
      <w:sz w:val="44"/>
      <w:szCs w:val="44"/>
    </w:rPr>
  </w:style>
  <w:style w:type="character" w:customStyle="1" w:styleId="36">
    <w:name w:val="标题 2 字符"/>
    <w:link w:val="3"/>
    <w:autoRedefine/>
    <w:qFormat/>
    <w:uiPriority w:val="0"/>
    <w:rPr>
      <w:rFonts w:ascii="Arial" w:hAnsi="Arial" w:eastAsia="黑体" w:cs="Times New Roman"/>
      <w:b/>
      <w:bCs/>
      <w:sz w:val="32"/>
      <w:szCs w:val="32"/>
    </w:rPr>
  </w:style>
  <w:style w:type="character" w:customStyle="1" w:styleId="37">
    <w:name w:val="标题 3 字符"/>
    <w:link w:val="4"/>
    <w:autoRedefine/>
    <w:qFormat/>
    <w:uiPriority w:val="0"/>
    <w:rPr>
      <w:rFonts w:ascii="Times New Roman" w:hAnsi="Times New Roman" w:eastAsia="宋体" w:cs="Times New Roman"/>
      <w:b/>
      <w:bCs/>
      <w:sz w:val="32"/>
      <w:szCs w:val="32"/>
    </w:rPr>
  </w:style>
  <w:style w:type="character" w:customStyle="1" w:styleId="38">
    <w:name w:val="标题 4 字符"/>
    <w:link w:val="5"/>
    <w:autoRedefine/>
    <w:qFormat/>
    <w:uiPriority w:val="0"/>
    <w:rPr>
      <w:rFonts w:ascii="Arial" w:hAnsi="Arial" w:eastAsia="黑体" w:cs="Times New Roman"/>
      <w:b/>
      <w:bCs/>
      <w:sz w:val="28"/>
      <w:szCs w:val="28"/>
    </w:rPr>
  </w:style>
  <w:style w:type="character" w:customStyle="1" w:styleId="39">
    <w:name w:val="标题 5 字符"/>
    <w:link w:val="6"/>
    <w:autoRedefine/>
    <w:qFormat/>
    <w:uiPriority w:val="0"/>
    <w:rPr>
      <w:rFonts w:ascii="Times New Roman" w:hAnsi="Times New Roman" w:eastAsia="宋体" w:cs="Times New Roman"/>
      <w:b/>
      <w:bCs/>
      <w:sz w:val="28"/>
      <w:szCs w:val="28"/>
    </w:rPr>
  </w:style>
  <w:style w:type="character" w:customStyle="1" w:styleId="40">
    <w:name w:val="标题 6 字符"/>
    <w:link w:val="7"/>
    <w:autoRedefine/>
    <w:qFormat/>
    <w:uiPriority w:val="0"/>
    <w:rPr>
      <w:rFonts w:ascii="Arial" w:hAnsi="Arial" w:eastAsia="黑体" w:cs="Times New Roman"/>
      <w:b/>
      <w:bCs/>
      <w:sz w:val="24"/>
      <w:szCs w:val="24"/>
    </w:rPr>
  </w:style>
  <w:style w:type="character" w:customStyle="1" w:styleId="41">
    <w:name w:val="标题 7 字符"/>
    <w:link w:val="8"/>
    <w:autoRedefine/>
    <w:qFormat/>
    <w:uiPriority w:val="0"/>
    <w:rPr>
      <w:rFonts w:ascii="Times New Roman" w:hAnsi="Times New Roman" w:eastAsia="宋体" w:cs="Times New Roman"/>
      <w:b/>
      <w:bCs/>
      <w:sz w:val="24"/>
      <w:szCs w:val="24"/>
    </w:rPr>
  </w:style>
  <w:style w:type="character" w:customStyle="1" w:styleId="42">
    <w:name w:val="标题 8 字符"/>
    <w:link w:val="9"/>
    <w:autoRedefine/>
    <w:qFormat/>
    <w:uiPriority w:val="0"/>
    <w:rPr>
      <w:rFonts w:ascii="Arial" w:hAnsi="Arial" w:eastAsia="黑体" w:cs="Times New Roman"/>
      <w:sz w:val="24"/>
      <w:szCs w:val="24"/>
    </w:rPr>
  </w:style>
  <w:style w:type="character" w:customStyle="1" w:styleId="43">
    <w:name w:val="标题 9 字符"/>
    <w:link w:val="10"/>
    <w:autoRedefine/>
    <w:qFormat/>
    <w:uiPriority w:val="0"/>
    <w:rPr>
      <w:rFonts w:ascii="Arial" w:hAnsi="Arial" w:eastAsia="黑体" w:cs="Times New Roman"/>
      <w:szCs w:val="21"/>
    </w:rPr>
  </w:style>
  <w:style w:type="character" w:customStyle="1" w:styleId="44">
    <w:name w:val="页眉 字符"/>
    <w:link w:val="18"/>
    <w:autoRedefine/>
    <w:qFormat/>
    <w:uiPriority w:val="99"/>
    <w:rPr>
      <w:rFonts w:ascii="Times New Roman" w:hAnsi="Times New Roman" w:eastAsia="宋体" w:cs="Times New Roman"/>
      <w:sz w:val="18"/>
      <w:szCs w:val="18"/>
    </w:rPr>
  </w:style>
  <w:style w:type="character" w:customStyle="1" w:styleId="45">
    <w:name w:val="页脚 字符"/>
    <w:link w:val="17"/>
    <w:autoRedefine/>
    <w:qFormat/>
    <w:uiPriority w:val="99"/>
    <w:rPr>
      <w:rFonts w:ascii="宋体" w:hAnsi="Times New Roman" w:eastAsia="宋体" w:cs="Times New Roman"/>
      <w:sz w:val="18"/>
      <w:szCs w:val="18"/>
    </w:rPr>
  </w:style>
  <w:style w:type="character" w:customStyle="1" w:styleId="46">
    <w:name w:val="批注框文本 字符"/>
    <w:link w:val="16"/>
    <w:autoRedefine/>
    <w:semiHidden/>
    <w:qFormat/>
    <w:uiPriority w:val="99"/>
    <w:rPr>
      <w:sz w:val="18"/>
      <w:szCs w:val="18"/>
    </w:rPr>
  </w:style>
  <w:style w:type="paragraph" w:styleId="47">
    <w:name w:val="Quote"/>
    <w:basedOn w:val="1"/>
    <w:next w:val="1"/>
    <w:link w:val="48"/>
    <w:autoRedefine/>
    <w:qFormat/>
    <w:uiPriority w:val="29"/>
    <w:rPr>
      <w:i/>
      <w:iCs/>
      <w:color w:val="000000"/>
    </w:rPr>
  </w:style>
  <w:style w:type="character" w:customStyle="1" w:styleId="48">
    <w:name w:val="引用 字符"/>
    <w:link w:val="47"/>
    <w:autoRedefine/>
    <w:qFormat/>
    <w:uiPriority w:val="29"/>
    <w:rPr>
      <w:i/>
      <w:iCs/>
      <w:color w:val="000000"/>
    </w:rPr>
  </w:style>
  <w:style w:type="character" w:customStyle="1" w:styleId="49">
    <w:name w:val="标题 字符"/>
    <w:link w:val="26"/>
    <w:autoRedefine/>
    <w:qFormat/>
    <w:uiPriority w:val="0"/>
    <w:rPr>
      <w:rFonts w:ascii="Arial" w:hAnsi="Arial" w:eastAsia="宋体" w:cs="Arial"/>
      <w:b/>
      <w:bCs/>
      <w:sz w:val="32"/>
      <w:szCs w:val="32"/>
    </w:rPr>
  </w:style>
  <w:style w:type="paragraph" w:customStyle="1" w:styleId="50">
    <w:name w:val="标准标志"/>
    <w:next w:val="1"/>
    <w:autoRedefine/>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1">
    <w:name w:val="标准称谓"/>
    <w:next w:val="1"/>
    <w:autoRedefine/>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2">
    <w:name w:val="标准文件_页脚偶数页"/>
    <w:autoRedefine/>
    <w:qFormat/>
    <w:uiPriority w:val="0"/>
    <w:pPr>
      <w:ind w:left="198"/>
    </w:pPr>
    <w:rPr>
      <w:rFonts w:ascii="宋体" w:hAnsi="Times New Roman" w:eastAsia="宋体" w:cs="Times New Roman"/>
      <w:sz w:val="18"/>
      <w:lang w:val="en-US" w:eastAsia="zh-CN" w:bidi="ar-SA"/>
    </w:rPr>
  </w:style>
  <w:style w:type="paragraph" w:customStyle="1" w:styleId="53">
    <w:name w:val="标准文件_页脚奇数页"/>
    <w:autoRedefine/>
    <w:qFormat/>
    <w:uiPriority w:val="0"/>
    <w:pPr>
      <w:ind w:right="227"/>
      <w:jc w:val="right"/>
    </w:pPr>
    <w:rPr>
      <w:rFonts w:ascii="宋体" w:hAnsi="Times New Roman" w:eastAsia="宋体" w:cs="Times New Roman"/>
      <w:sz w:val="18"/>
      <w:lang w:val="en-US" w:eastAsia="zh-CN" w:bidi="ar-SA"/>
    </w:rPr>
  </w:style>
  <w:style w:type="paragraph" w:customStyle="1" w:styleId="54">
    <w:name w:val="标准书眉一"/>
    <w:autoRedefine/>
    <w:qFormat/>
    <w:uiPriority w:val="0"/>
    <w:pPr>
      <w:jc w:val="both"/>
    </w:pPr>
    <w:rPr>
      <w:rFonts w:ascii="Times New Roman" w:hAnsi="Times New Roman" w:eastAsia="宋体" w:cs="Times New Roman"/>
      <w:lang w:val="en-US" w:eastAsia="zh-CN" w:bidi="ar-SA"/>
    </w:rPr>
  </w:style>
  <w:style w:type="paragraph" w:customStyle="1" w:styleId="55">
    <w:name w:val="标准文件_ICS"/>
    <w:basedOn w:val="1"/>
    <w:autoRedefine/>
    <w:qFormat/>
    <w:uiPriority w:val="0"/>
    <w:pPr>
      <w:spacing w:line="0" w:lineRule="atLeast"/>
    </w:pPr>
    <w:rPr>
      <w:rFonts w:ascii="黑体" w:hAnsi="宋体" w:eastAsia="黑体"/>
    </w:rPr>
  </w:style>
  <w:style w:type="paragraph" w:customStyle="1" w:styleId="56">
    <w:name w:val="标准文件_标准正文"/>
    <w:basedOn w:val="1"/>
    <w:next w:val="57"/>
    <w:autoRedefine/>
    <w:qFormat/>
    <w:uiPriority w:val="0"/>
    <w:pPr>
      <w:snapToGrid w:val="0"/>
      <w:ind w:firstLine="200" w:firstLineChars="200"/>
    </w:pPr>
    <w:rPr>
      <w:kern w:val="0"/>
    </w:rPr>
  </w:style>
  <w:style w:type="paragraph" w:customStyle="1" w:styleId="57">
    <w:name w:val="标准文件_段"/>
    <w:link w:val="185"/>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8">
    <w:name w:val="标准文件_版本"/>
    <w:basedOn w:val="56"/>
    <w:autoRedefine/>
    <w:qFormat/>
    <w:uiPriority w:val="0"/>
    <w:pPr>
      <w:adjustRightInd/>
      <w:snapToGrid/>
      <w:ind w:firstLine="0" w:firstLineChars="0"/>
    </w:pPr>
    <w:rPr>
      <w:rFonts w:ascii="宋体" w:hAnsi="宋体"/>
      <w:kern w:val="2"/>
    </w:rPr>
  </w:style>
  <w:style w:type="paragraph" w:customStyle="1" w:styleId="59">
    <w:name w:val="标准文件_标准部门"/>
    <w:basedOn w:val="1"/>
    <w:autoRedefine/>
    <w:qFormat/>
    <w:uiPriority w:val="0"/>
    <w:pPr>
      <w:jc w:val="center"/>
    </w:pPr>
    <w:rPr>
      <w:rFonts w:ascii="黑体" w:eastAsia="黑体"/>
      <w:kern w:val="0"/>
      <w:sz w:val="44"/>
    </w:rPr>
  </w:style>
  <w:style w:type="paragraph" w:customStyle="1" w:styleId="60">
    <w:name w:val="标准文件_标准代替"/>
    <w:basedOn w:val="1"/>
    <w:next w:val="1"/>
    <w:autoRedefine/>
    <w:qFormat/>
    <w:uiPriority w:val="0"/>
    <w:pPr>
      <w:spacing w:line="310" w:lineRule="exact"/>
      <w:jc w:val="right"/>
    </w:pPr>
    <w:rPr>
      <w:rFonts w:ascii="宋体" w:hAnsi="宋体"/>
      <w:kern w:val="0"/>
    </w:rPr>
  </w:style>
  <w:style w:type="paragraph" w:customStyle="1" w:styleId="61">
    <w:name w:val="标准文件_标准名称标题"/>
    <w:basedOn w:val="1"/>
    <w:next w:val="1"/>
    <w:autoRedefine/>
    <w:qFormat/>
    <w:uiPriority w:val="0"/>
    <w:pPr>
      <w:widowControl/>
      <w:shd w:val="clear" w:color="FFFFFF" w:fill="FFFFFF"/>
      <w:adjustRightInd/>
      <w:spacing w:before="640" w:after="100"/>
      <w:jc w:val="center"/>
    </w:pPr>
    <w:rPr>
      <w:rFonts w:ascii="黑体" w:eastAsia="黑体"/>
      <w:kern w:val="0"/>
      <w:sz w:val="32"/>
    </w:rPr>
  </w:style>
  <w:style w:type="paragraph" w:customStyle="1" w:styleId="62">
    <w:name w:val="标准文件_页眉奇数页"/>
    <w:next w:val="1"/>
    <w:autoRedefine/>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3">
    <w:name w:val="标准文件_页眉偶数页"/>
    <w:basedOn w:val="62"/>
    <w:next w:val="1"/>
    <w:autoRedefine/>
    <w:qFormat/>
    <w:uiPriority w:val="0"/>
    <w:pPr>
      <w:jc w:val="left"/>
    </w:pPr>
  </w:style>
  <w:style w:type="paragraph" w:customStyle="1" w:styleId="64">
    <w:name w:val="标准文件_参考文献标题"/>
    <w:basedOn w:val="1"/>
    <w:next w:val="1"/>
    <w:autoRedefine/>
    <w:qFormat/>
    <w:uiPriority w:val="0"/>
    <w:pPr>
      <w:widowControl/>
      <w:shd w:val="clear" w:color="FFFFFF" w:fill="FFFFFF"/>
      <w:adjustRightInd/>
      <w:spacing w:before="40" w:beforeLines="40" w:after="50" w:afterLines="50" w:line="240" w:lineRule="auto"/>
      <w:jc w:val="center"/>
      <w:outlineLvl w:val="0"/>
    </w:pPr>
    <w:rPr>
      <w:rFonts w:ascii="黑体" w:eastAsia="黑体"/>
      <w:kern w:val="0"/>
    </w:rPr>
  </w:style>
  <w:style w:type="paragraph" w:customStyle="1" w:styleId="65">
    <w:name w:val="标准文件_参考文献条目"/>
    <w:autoRedefine/>
    <w:qFormat/>
    <w:uiPriority w:val="0"/>
    <w:pPr>
      <w:numPr>
        <w:ilvl w:val="0"/>
        <w:numId w:val="1"/>
      </w:numPr>
    </w:pPr>
    <w:rPr>
      <w:rFonts w:ascii="宋体" w:hAnsi="Times New Roman" w:eastAsia="宋体" w:cs="Times New Roman"/>
      <w:lang w:val="en-US" w:eastAsia="zh-CN" w:bidi="ar-SA"/>
    </w:rPr>
  </w:style>
  <w:style w:type="paragraph" w:customStyle="1" w:styleId="66">
    <w:name w:val="标准文件_二级条标题"/>
    <w:next w:val="57"/>
    <w:autoRedefine/>
    <w:qFormat/>
    <w:uiPriority w:val="0"/>
    <w:pPr>
      <w:widowControl w:val="0"/>
      <w:numPr>
        <w:ilvl w:val="3"/>
        <w:numId w:val="2"/>
      </w:numPr>
      <w:spacing w:before="120" w:beforeLines="50" w:after="120" w:afterLines="50"/>
      <w:ind w:left="0"/>
      <w:jc w:val="both"/>
      <w:outlineLvl w:val="2"/>
    </w:pPr>
    <w:rPr>
      <w:rFonts w:ascii="黑体" w:hAnsi="Times New Roman" w:eastAsia="黑体" w:cs="Times New Roman"/>
      <w:sz w:val="21"/>
      <w:lang w:val="en-US" w:eastAsia="zh-CN" w:bidi="ar-SA"/>
    </w:rPr>
  </w:style>
  <w:style w:type="character" w:customStyle="1" w:styleId="67">
    <w:name w:val="标准文件_发布"/>
    <w:autoRedefine/>
    <w:qFormat/>
    <w:uiPriority w:val="0"/>
    <w:rPr>
      <w:rFonts w:ascii="黑体" w:eastAsia="黑体"/>
      <w:spacing w:val="0"/>
      <w:w w:val="100"/>
      <w:position w:val="3"/>
      <w:sz w:val="28"/>
    </w:rPr>
  </w:style>
  <w:style w:type="paragraph" w:customStyle="1" w:styleId="68">
    <w:name w:val="标准文件_方框数字列项"/>
    <w:basedOn w:val="57"/>
    <w:autoRedefine/>
    <w:qFormat/>
    <w:uiPriority w:val="0"/>
    <w:pPr>
      <w:numPr>
        <w:ilvl w:val="0"/>
        <w:numId w:val="3"/>
      </w:numPr>
      <w:ind w:firstLine="0" w:firstLineChars="0"/>
    </w:pPr>
  </w:style>
  <w:style w:type="paragraph" w:customStyle="1" w:styleId="69">
    <w:name w:val="标准文件_封面标准编号"/>
    <w:basedOn w:val="1"/>
    <w:next w:val="60"/>
    <w:autoRedefine/>
    <w:qFormat/>
    <w:uiPriority w:val="0"/>
    <w:pPr>
      <w:spacing w:line="310" w:lineRule="exact"/>
      <w:jc w:val="right"/>
    </w:pPr>
    <w:rPr>
      <w:rFonts w:ascii="黑体" w:eastAsia="黑体"/>
      <w:kern w:val="0"/>
      <w:sz w:val="28"/>
    </w:rPr>
  </w:style>
  <w:style w:type="paragraph" w:customStyle="1" w:styleId="70">
    <w:name w:val="标准文件_封面标准分类号"/>
    <w:basedOn w:val="1"/>
    <w:autoRedefine/>
    <w:qFormat/>
    <w:uiPriority w:val="0"/>
    <w:rPr>
      <w:rFonts w:ascii="黑体" w:eastAsia="黑体"/>
      <w:b/>
      <w:kern w:val="0"/>
      <w:sz w:val="28"/>
    </w:rPr>
  </w:style>
  <w:style w:type="paragraph" w:customStyle="1" w:styleId="71">
    <w:name w:val="标准文件_封面标准名称"/>
    <w:basedOn w:val="1"/>
    <w:autoRedefine/>
    <w:qFormat/>
    <w:uiPriority w:val="0"/>
    <w:pPr>
      <w:spacing w:line="240" w:lineRule="auto"/>
      <w:jc w:val="center"/>
    </w:pPr>
    <w:rPr>
      <w:rFonts w:ascii="黑体" w:eastAsia="黑体"/>
      <w:kern w:val="0"/>
      <w:sz w:val="52"/>
    </w:rPr>
  </w:style>
  <w:style w:type="paragraph" w:customStyle="1" w:styleId="72">
    <w:name w:val="标准文件_封面标准英文名称"/>
    <w:basedOn w:val="1"/>
    <w:autoRedefine/>
    <w:qFormat/>
    <w:uiPriority w:val="0"/>
    <w:pPr>
      <w:spacing w:line="240" w:lineRule="auto"/>
      <w:jc w:val="center"/>
    </w:pPr>
    <w:rPr>
      <w:rFonts w:ascii="黑体" w:eastAsia="黑体"/>
      <w:b/>
      <w:sz w:val="28"/>
    </w:rPr>
  </w:style>
  <w:style w:type="paragraph" w:customStyle="1" w:styleId="73">
    <w:name w:val="标准文件_封面发布日期"/>
    <w:basedOn w:val="1"/>
    <w:autoRedefine/>
    <w:qFormat/>
    <w:uiPriority w:val="0"/>
    <w:pPr>
      <w:spacing w:line="310" w:lineRule="exact"/>
    </w:pPr>
    <w:rPr>
      <w:rFonts w:ascii="黑体" w:eastAsia="黑体"/>
      <w:kern w:val="0"/>
      <w:sz w:val="28"/>
    </w:rPr>
  </w:style>
  <w:style w:type="paragraph" w:customStyle="1" w:styleId="74">
    <w:name w:val="标准文件_封面密级"/>
    <w:basedOn w:val="1"/>
    <w:autoRedefine/>
    <w:qFormat/>
    <w:uiPriority w:val="0"/>
    <w:rPr>
      <w:rFonts w:eastAsia="黑体"/>
      <w:sz w:val="32"/>
    </w:rPr>
  </w:style>
  <w:style w:type="paragraph" w:customStyle="1" w:styleId="75">
    <w:name w:val="标准文件_封面实施日期"/>
    <w:basedOn w:val="1"/>
    <w:autoRedefine/>
    <w:qFormat/>
    <w:uiPriority w:val="0"/>
    <w:pPr>
      <w:spacing w:line="310" w:lineRule="exact"/>
      <w:jc w:val="right"/>
    </w:pPr>
    <w:rPr>
      <w:rFonts w:ascii="黑体" w:eastAsia="黑体"/>
      <w:sz w:val="28"/>
    </w:rPr>
  </w:style>
  <w:style w:type="paragraph" w:customStyle="1" w:styleId="76">
    <w:name w:val="标准文件_封面抬头"/>
    <w:basedOn w:val="57"/>
    <w:autoRedefine/>
    <w:qFormat/>
    <w:uiPriority w:val="0"/>
    <w:pPr>
      <w:adjustRightInd w:val="0"/>
      <w:spacing w:line="800" w:lineRule="exact"/>
      <w:ind w:firstLine="0" w:firstLineChars="0"/>
      <w:jc w:val="distribute"/>
    </w:pPr>
    <w:rPr>
      <w:rFonts w:ascii="黑体" w:eastAsia="黑体"/>
      <w:b/>
      <w:sz w:val="64"/>
    </w:rPr>
  </w:style>
  <w:style w:type="paragraph" w:customStyle="1" w:styleId="77">
    <w:name w:val="标准文件_附录标识"/>
    <w:next w:val="57"/>
    <w:autoRedefine/>
    <w:qFormat/>
    <w:uiPriority w:val="0"/>
    <w:pPr>
      <w:numPr>
        <w:ilvl w:val="0"/>
        <w:numId w:val="4"/>
      </w:numPr>
      <w:shd w:val="clear" w:color="FFFFFF" w:fill="FFFFFF"/>
      <w:tabs>
        <w:tab w:val="left" w:pos="6406"/>
      </w:tabs>
      <w:spacing w:before="25" w:beforeLines="25" w:after="50" w:afterLines="50"/>
      <w:jc w:val="center"/>
      <w:outlineLvl w:val="0"/>
    </w:pPr>
    <w:rPr>
      <w:rFonts w:ascii="黑体" w:hAnsi="Times New Roman" w:eastAsia="黑体" w:cs="Times New Roman"/>
      <w:sz w:val="21"/>
      <w:lang w:val="en-US" w:eastAsia="zh-CN" w:bidi="ar-SA"/>
    </w:rPr>
  </w:style>
  <w:style w:type="paragraph" w:customStyle="1" w:styleId="78">
    <w:name w:val="标准文件_附录表标题"/>
    <w:next w:val="57"/>
    <w:autoRedefine/>
    <w:qFormat/>
    <w:uiPriority w:val="0"/>
    <w:pPr>
      <w:numPr>
        <w:ilvl w:val="1"/>
        <w:numId w:val="5"/>
      </w:numPr>
      <w:adjustRightInd w:val="0"/>
      <w:snapToGrid w:val="0"/>
      <w:spacing w:before="50" w:beforeLines="50" w:after="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79">
    <w:name w:val="标准文件_附录一级条标题"/>
    <w:next w:val="57"/>
    <w:autoRedefine/>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0">
    <w:name w:val="标准文件_附录二级条标题"/>
    <w:basedOn w:val="79"/>
    <w:next w:val="57"/>
    <w:autoRedefine/>
    <w:qFormat/>
    <w:uiPriority w:val="0"/>
    <w:pPr>
      <w:widowControl/>
      <w:numPr>
        <w:ilvl w:val="2"/>
      </w:numPr>
      <w:wordWrap w:val="0"/>
      <w:overflowPunct w:val="0"/>
      <w:autoSpaceDE w:val="0"/>
      <w:autoSpaceDN w:val="0"/>
      <w:textAlignment w:val="baseline"/>
      <w:outlineLvl w:val="3"/>
    </w:pPr>
  </w:style>
  <w:style w:type="paragraph" w:customStyle="1" w:styleId="81">
    <w:name w:val="标准文件_附录公式"/>
    <w:basedOn w:val="56"/>
    <w:next w:val="56"/>
    <w:autoRedefine/>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2">
    <w:name w:val="标准文件_附录三级条标题"/>
    <w:next w:val="57"/>
    <w:autoRedefine/>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3">
    <w:name w:val="标准文件_附录四级条标题"/>
    <w:next w:val="57"/>
    <w:autoRedefine/>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4">
    <w:name w:val="标准文件_附录图标题"/>
    <w:next w:val="57"/>
    <w:autoRedefine/>
    <w:qFormat/>
    <w:uiPriority w:val="0"/>
    <w:pPr>
      <w:numPr>
        <w:ilvl w:val="1"/>
        <w:numId w:val="6"/>
      </w:numPr>
      <w:adjustRightInd w:val="0"/>
      <w:snapToGrid w:val="0"/>
      <w:spacing w:before="50" w:beforeLines="50" w:after="50" w:afterLines="50"/>
      <w:ind w:firstLine="420"/>
      <w:jc w:val="center"/>
    </w:pPr>
    <w:rPr>
      <w:rFonts w:ascii="黑体" w:hAnsi="Times New Roman" w:eastAsia="黑体" w:cs="Times New Roman"/>
      <w:sz w:val="21"/>
      <w:lang w:val="en-US" w:eastAsia="zh-CN" w:bidi="ar-SA"/>
    </w:rPr>
  </w:style>
  <w:style w:type="paragraph" w:customStyle="1" w:styleId="85">
    <w:name w:val="标准文件_附录五级条标题"/>
    <w:next w:val="57"/>
    <w:autoRedefine/>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6">
    <w:name w:val="标准文件_附录英文标识"/>
    <w:next w:val="13"/>
    <w:autoRedefine/>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7">
    <w:name w:val="正文文本 字符"/>
    <w:link w:val="13"/>
    <w:autoRedefine/>
    <w:qFormat/>
    <w:uiPriority w:val="0"/>
    <w:rPr>
      <w:rFonts w:ascii="Times New Roman" w:hAnsi="Times New Roman" w:eastAsia="宋体" w:cs="Times New Roman"/>
      <w:szCs w:val="20"/>
    </w:rPr>
  </w:style>
  <w:style w:type="paragraph" w:customStyle="1" w:styleId="88">
    <w:name w:val="标准文件_附录章标题"/>
    <w:next w:val="57"/>
    <w:autoRedefine/>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9">
    <w:name w:val="标准文件_公式后的破折号"/>
    <w:basedOn w:val="57"/>
    <w:next w:val="57"/>
    <w:autoRedefine/>
    <w:qFormat/>
    <w:uiPriority w:val="0"/>
    <w:pPr>
      <w:ind w:left="488" w:leftChars="200" w:hanging="289" w:hangingChars="290"/>
    </w:pPr>
  </w:style>
  <w:style w:type="paragraph" w:customStyle="1" w:styleId="90">
    <w:name w:val="标准文件_前言、引言标题"/>
    <w:next w:val="1"/>
    <w:autoRedefine/>
    <w:qFormat/>
    <w:uiPriority w:val="0"/>
    <w:pPr>
      <w:numPr>
        <w:ilvl w:val="0"/>
        <w:numId w:val="8"/>
      </w:numPr>
      <w:shd w:val="clear" w:color="FFFFFF" w:fill="FFFFFF"/>
      <w:spacing w:after="150" w:afterLines="150"/>
      <w:ind w:left="0" w:firstLine="0"/>
      <w:jc w:val="center"/>
      <w:outlineLvl w:val="0"/>
    </w:pPr>
    <w:rPr>
      <w:rFonts w:ascii="黑体" w:hAnsi="Times New Roman" w:eastAsia="黑体" w:cs="Times New Roman"/>
      <w:sz w:val="32"/>
      <w:lang w:val="en-US" w:eastAsia="zh-CN" w:bidi="ar-SA"/>
    </w:rPr>
  </w:style>
  <w:style w:type="paragraph" w:customStyle="1" w:styleId="91">
    <w:name w:val="标准文件_目次、标准名称标题"/>
    <w:basedOn w:val="90"/>
    <w:next w:val="57"/>
    <w:autoRedefine/>
    <w:qFormat/>
    <w:uiPriority w:val="0"/>
    <w:pPr>
      <w:spacing w:line="460" w:lineRule="exact"/>
    </w:pPr>
  </w:style>
  <w:style w:type="paragraph" w:customStyle="1" w:styleId="92">
    <w:name w:val="标准文件_目录标题"/>
    <w:basedOn w:val="1"/>
    <w:autoRedefine/>
    <w:qFormat/>
    <w:uiPriority w:val="0"/>
    <w:pPr>
      <w:spacing w:after="150" w:afterLines="150" w:line="240" w:lineRule="auto"/>
      <w:jc w:val="center"/>
    </w:pPr>
    <w:rPr>
      <w:rFonts w:ascii="黑体" w:eastAsia="黑体"/>
      <w:sz w:val="32"/>
    </w:rPr>
  </w:style>
  <w:style w:type="paragraph" w:customStyle="1" w:styleId="93">
    <w:name w:val="标准文件_破折号列项"/>
    <w:autoRedefine/>
    <w:qFormat/>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94">
    <w:name w:val="标准文件_破折号列项（二级）"/>
    <w:basedOn w:val="93"/>
    <w:autoRedefine/>
    <w:qFormat/>
    <w:uiPriority w:val="0"/>
    <w:pPr>
      <w:numPr>
        <w:numId w:val="10"/>
      </w:numPr>
      <w:ind w:left="0" w:firstLine="200"/>
    </w:pPr>
  </w:style>
  <w:style w:type="paragraph" w:customStyle="1" w:styleId="95">
    <w:name w:val="标准文件_三级条标题"/>
    <w:basedOn w:val="66"/>
    <w:next w:val="57"/>
    <w:autoRedefine/>
    <w:qFormat/>
    <w:uiPriority w:val="0"/>
    <w:pPr>
      <w:widowControl/>
      <w:numPr>
        <w:ilvl w:val="4"/>
      </w:numPr>
      <w:outlineLvl w:val="3"/>
    </w:pPr>
  </w:style>
  <w:style w:type="character" w:customStyle="1" w:styleId="96">
    <w:name w:val="不明显参考1"/>
    <w:autoRedefine/>
    <w:qFormat/>
    <w:uiPriority w:val="31"/>
    <w:rPr>
      <w:smallCaps/>
      <w:color w:val="C0504D"/>
      <w:u w:val="single"/>
    </w:rPr>
  </w:style>
  <w:style w:type="paragraph" w:customStyle="1" w:styleId="97">
    <w:name w:val="标准文件_示例后续"/>
    <w:basedOn w:val="1"/>
    <w:autoRedefine/>
    <w:qFormat/>
    <w:uiPriority w:val="0"/>
    <w:pPr>
      <w:adjustRightInd/>
      <w:spacing w:line="240" w:lineRule="auto"/>
      <w:ind w:firstLine="200" w:firstLineChars="200"/>
    </w:pPr>
    <w:rPr>
      <w:sz w:val="18"/>
      <w:szCs w:val="24"/>
    </w:rPr>
  </w:style>
  <w:style w:type="paragraph" w:customStyle="1" w:styleId="98">
    <w:name w:val="标准文件_数字编号列项"/>
    <w:autoRedefine/>
    <w:qFormat/>
    <w:uiPriority w:val="0"/>
    <w:pPr>
      <w:numPr>
        <w:ilvl w:val="0"/>
        <w:numId w:val="11"/>
      </w:numPr>
      <w:jc w:val="both"/>
    </w:pPr>
    <w:rPr>
      <w:rFonts w:ascii="宋体" w:hAnsi="宋体" w:eastAsia="宋体" w:cs="Times New Roman"/>
      <w:sz w:val="21"/>
      <w:lang w:val="en-US" w:eastAsia="zh-CN" w:bidi="ar-SA"/>
    </w:rPr>
  </w:style>
  <w:style w:type="paragraph" w:customStyle="1" w:styleId="99">
    <w:name w:val="标准文件_四级条标题"/>
    <w:next w:val="57"/>
    <w:autoRedefine/>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0">
    <w:name w:val="脚注文本 字符"/>
    <w:link w:val="21"/>
    <w:autoRedefine/>
    <w:semiHidden/>
    <w:qFormat/>
    <w:uiPriority w:val="0"/>
    <w:rPr>
      <w:rFonts w:ascii="宋体" w:hAnsi="Times New Roman" w:eastAsia="宋体" w:cs="Times New Roman"/>
      <w:sz w:val="18"/>
      <w:szCs w:val="18"/>
    </w:rPr>
  </w:style>
  <w:style w:type="paragraph" w:customStyle="1" w:styleId="101">
    <w:name w:val="标准文件_条文脚注"/>
    <w:basedOn w:val="21"/>
    <w:autoRedefine/>
    <w:qFormat/>
    <w:uiPriority w:val="0"/>
    <w:pPr>
      <w:adjustRightInd w:val="0"/>
      <w:spacing w:line="240" w:lineRule="auto"/>
      <w:ind w:left="0" w:leftChars="0" w:firstLine="200" w:firstLineChars="200"/>
      <w:jc w:val="both"/>
    </w:pPr>
    <w:rPr>
      <w:rFonts w:hAnsi="宋体"/>
    </w:rPr>
  </w:style>
  <w:style w:type="paragraph" w:customStyle="1" w:styleId="102">
    <w:name w:val="标准文件_图表脚注"/>
    <w:basedOn w:val="1"/>
    <w:next w:val="57"/>
    <w:autoRedefine/>
    <w:qFormat/>
    <w:uiPriority w:val="0"/>
    <w:pPr>
      <w:numPr>
        <w:ilvl w:val="0"/>
        <w:numId w:val="12"/>
      </w:numPr>
      <w:spacing w:line="240" w:lineRule="auto"/>
      <w:jc w:val="left"/>
    </w:pPr>
    <w:rPr>
      <w:rFonts w:ascii="宋体" w:hAnsi="宋体"/>
      <w:sz w:val="18"/>
    </w:rPr>
  </w:style>
  <w:style w:type="character" w:customStyle="1" w:styleId="103">
    <w:name w:val="标准文件_图表脚注内容"/>
    <w:autoRedefine/>
    <w:qFormat/>
    <w:uiPriority w:val="0"/>
    <w:rPr>
      <w:rFonts w:ascii="宋体" w:hAnsi="宋体" w:eastAsia="宋体" w:cs="Times New Roman"/>
      <w:spacing w:val="0"/>
      <w:sz w:val="18"/>
      <w:vertAlign w:val="superscript"/>
    </w:rPr>
  </w:style>
  <w:style w:type="paragraph" w:customStyle="1" w:styleId="104">
    <w:name w:val="标准文件_五级条标题"/>
    <w:next w:val="57"/>
    <w:autoRedefine/>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5">
    <w:name w:val="标准文件_章标题"/>
    <w:next w:val="57"/>
    <w:autoRedefine/>
    <w:qFormat/>
    <w:uiPriority w:val="0"/>
    <w:pPr>
      <w:numPr>
        <w:ilvl w:val="1"/>
        <w:numId w:val="2"/>
      </w:numPr>
      <w:spacing w:before="240" w:beforeLines="100" w:after="240" w:afterLines="100"/>
      <w:ind w:left="0"/>
      <w:jc w:val="both"/>
      <w:outlineLvl w:val="0"/>
    </w:pPr>
    <w:rPr>
      <w:rFonts w:ascii="黑体" w:hAnsi="Times New Roman" w:eastAsia="黑体" w:cs="Times New Roman"/>
      <w:sz w:val="21"/>
      <w:lang w:val="en-US" w:eastAsia="zh-CN" w:bidi="ar-SA"/>
    </w:rPr>
  </w:style>
  <w:style w:type="paragraph" w:customStyle="1" w:styleId="106">
    <w:name w:val="标准文件_一级条标题"/>
    <w:basedOn w:val="105"/>
    <w:next w:val="57"/>
    <w:autoRedefine/>
    <w:qFormat/>
    <w:uiPriority w:val="0"/>
    <w:pPr>
      <w:numPr>
        <w:ilvl w:val="2"/>
      </w:numPr>
      <w:spacing w:before="120" w:beforeLines="50" w:after="120" w:afterLines="50"/>
      <w:ind w:left="0"/>
      <w:outlineLvl w:val="1"/>
    </w:pPr>
  </w:style>
  <w:style w:type="paragraph" w:customStyle="1" w:styleId="107">
    <w:name w:val="标准文件_一致程度"/>
    <w:basedOn w:val="1"/>
    <w:autoRedefine/>
    <w:qFormat/>
    <w:uiPriority w:val="0"/>
    <w:pPr>
      <w:spacing w:line="440" w:lineRule="exact"/>
      <w:jc w:val="center"/>
    </w:pPr>
    <w:rPr>
      <w:sz w:val="28"/>
    </w:rPr>
  </w:style>
  <w:style w:type="paragraph" w:customStyle="1" w:styleId="108">
    <w:name w:val="标准文件_引言标题"/>
    <w:next w:val="1"/>
    <w:autoRedefine/>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9">
    <w:name w:val="标准文件_英文图表脚注"/>
    <w:basedOn w:val="56"/>
    <w:autoRedefine/>
    <w:qFormat/>
    <w:uiPriority w:val="0"/>
    <w:pPr>
      <w:widowControl/>
      <w:adjustRightInd/>
      <w:snapToGrid/>
      <w:spacing w:line="240" w:lineRule="auto"/>
      <w:ind w:left="79" w:hanging="79" w:hangingChars="80"/>
    </w:pPr>
    <w:rPr>
      <w:rFonts w:ascii="宋体" w:hAnsi="宋体"/>
    </w:rPr>
  </w:style>
  <w:style w:type="paragraph" w:customStyle="1" w:styleId="110">
    <w:name w:val="标准文件_数字编号列项（二级）"/>
    <w:autoRedefine/>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1">
    <w:name w:val="标准文件_英文注："/>
    <w:basedOn w:val="1"/>
    <w:next w:val="57"/>
    <w:autoRedefine/>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2">
    <w:name w:val="标准文件_英文注×："/>
    <w:basedOn w:val="1"/>
    <w:autoRedefine/>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3">
    <w:name w:val="标准文件_正文表标题"/>
    <w:next w:val="57"/>
    <w:autoRedefine/>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4">
    <w:name w:val="标准文件_正文公式"/>
    <w:basedOn w:val="1"/>
    <w:next w:val="56"/>
    <w:autoRedefine/>
    <w:qFormat/>
    <w:uiPriority w:val="0"/>
    <w:pPr>
      <w:tabs>
        <w:tab w:val="center" w:pos="4678"/>
        <w:tab w:val="right" w:leader="middleDot" w:pos="9356"/>
      </w:tabs>
      <w:spacing w:line="240" w:lineRule="auto"/>
    </w:pPr>
    <w:rPr>
      <w:rFonts w:ascii="宋体" w:hAnsi="宋体"/>
    </w:rPr>
  </w:style>
  <w:style w:type="paragraph" w:customStyle="1" w:styleId="115">
    <w:name w:val="标准文件_正文图标题"/>
    <w:next w:val="57"/>
    <w:autoRedefine/>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6">
    <w:name w:val="标准文件_正文英文表标题"/>
    <w:next w:val="57"/>
    <w:autoRedefine/>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7">
    <w:name w:val="标准文件_正文英文图标题"/>
    <w:next w:val="57"/>
    <w:autoRedefine/>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8">
    <w:name w:val="标准文件_编号列项（三级）"/>
    <w:autoRedefine/>
    <w:qFormat/>
    <w:uiPriority w:val="0"/>
    <w:pPr>
      <w:numPr>
        <w:ilvl w:val="2"/>
        <w:numId w:val="13"/>
      </w:numPr>
    </w:pPr>
    <w:rPr>
      <w:rFonts w:ascii="宋体" w:hAnsi="Times New Roman" w:eastAsia="宋体" w:cs="Times New Roman"/>
      <w:sz w:val="21"/>
      <w:lang w:val="en-US" w:eastAsia="zh-CN" w:bidi="ar-SA"/>
    </w:rPr>
  </w:style>
  <w:style w:type="paragraph" w:customStyle="1" w:styleId="119">
    <w:name w:val="二级无标题条"/>
    <w:basedOn w:val="1"/>
    <w:autoRedefine/>
    <w:qFormat/>
    <w:uiPriority w:val="0"/>
    <w:pPr>
      <w:numPr>
        <w:ilvl w:val="3"/>
        <w:numId w:val="20"/>
      </w:numPr>
      <w:adjustRightInd/>
      <w:spacing w:line="240" w:lineRule="auto"/>
    </w:pPr>
    <w:rPr>
      <w:rFonts w:ascii="宋体" w:hAnsi="宋体"/>
      <w:szCs w:val="24"/>
    </w:rPr>
  </w:style>
  <w:style w:type="paragraph" w:customStyle="1" w:styleId="120">
    <w:name w:val="发布部门"/>
    <w:next w:val="57"/>
    <w:autoRedefine/>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1">
    <w:name w:val="发布日期"/>
    <w:autoRedefine/>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2">
    <w:name w:val="封面标准代替信息"/>
    <w:basedOn w:val="1"/>
    <w:autoRedefine/>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3">
    <w:name w:val="封面标准名称"/>
    <w:autoRedefine/>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4">
    <w:name w:val="封面标准文稿编辑信息"/>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5">
    <w:name w:val="封面标准文稿类别"/>
    <w:autoRedefine/>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6">
    <w:name w:val="封面标准英文名称"/>
    <w:autoRedefine/>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7">
    <w:name w:val="封面一致性程度标识"/>
    <w:autoRedefine/>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8">
    <w:name w:val="封面正文"/>
    <w:autoRedefine/>
    <w:qFormat/>
    <w:uiPriority w:val="0"/>
    <w:pPr>
      <w:jc w:val="both"/>
    </w:pPr>
    <w:rPr>
      <w:rFonts w:ascii="Times New Roman" w:hAnsi="Times New Roman" w:eastAsia="宋体" w:cs="Times New Roman"/>
      <w:lang w:val="en-US" w:eastAsia="zh-CN" w:bidi="ar-SA"/>
    </w:rPr>
  </w:style>
  <w:style w:type="paragraph" w:customStyle="1" w:styleId="129">
    <w:name w:val="附录二级无标题条"/>
    <w:basedOn w:val="1"/>
    <w:next w:val="57"/>
    <w:autoRedefine/>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0">
    <w:name w:val="附录三级无标题条"/>
    <w:basedOn w:val="129"/>
    <w:next w:val="57"/>
    <w:autoRedefine/>
    <w:qFormat/>
    <w:uiPriority w:val="0"/>
    <w:pPr>
      <w:outlineLvl w:val="4"/>
    </w:pPr>
  </w:style>
  <w:style w:type="paragraph" w:customStyle="1" w:styleId="131">
    <w:name w:val="附录四级无标题条"/>
    <w:basedOn w:val="130"/>
    <w:next w:val="57"/>
    <w:autoRedefine/>
    <w:qFormat/>
    <w:uiPriority w:val="0"/>
    <w:pPr>
      <w:outlineLvl w:val="5"/>
    </w:pPr>
  </w:style>
  <w:style w:type="paragraph" w:customStyle="1" w:styleId="132">
    <w:name w:val="附录图"/>
    <w:next w:val="57"/>
    <w:autoRedefine/>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3">
    <w:name w:val="标准文件_一级项"/>
    <w:autoRedefine/>
    <w:qFormat/>
    <w:uiPriority w:val="0"/>
    <w:pPr>
      <w:numPr>
        <w:ilvl w:val="0"/>
        <w:numId w:val="21"/>
      </w:numPr>
    </w:pPr>
    <w:rPr>
      <w:rFonts w:ascii="宋体" w:hAnsi="Times New Roman" w:eastAsia="宋体" w:cs="Times New Roman"/>
      <w:sz w:val="21"/>
      <w:lang w:val="en-US" w:eastAsia="zh-CN" w:bidi="ar-SA"/>
    </w:rPr>
  </w:style>
  <w:style w:type="paragraph" w:customStyle="1" w:styleId="134">
    <w:name w:val="附录五级无标题条"/>
    <w:basedOn w:val="131"/>
    <w:next w:val="57"/>
    <w:autoRedefine/>
    <w:qFormat/>
    <w:uiPriority w:val="0"/>
    <w:pPr>
      <w:outlineLvl w:val="6"/>
    </w:pPr>
  </w:style>
  <w:style w:type="paragraph" w:customStyle="1" w:styleId="135">
    <w:name w:val="附录性质"/>
    <w:basedOn w:val="1"/>
    <w:autoRedefine/>
    <w:qFormat/>
    <w:uiPriority w:val="0"/>
    <w:pPr>
      <w:widowControl/>
      <w:adjustRightInd/>
      <w:jc w:val="center"/>
    </w:pPr>
    <w:rPr>
      <w:rFonts w:ascii="黑体" w:eastAsia="黑体"/>
    </w:rPr>
  </w:style>
  <w:style w:type="paragraph" w:customStyle="1" w:styleId="136">
    <w:name w:val="附录一级无标题条"/>
    <w:basedOn w:val="88"/>
    <w:next w:val="57"/>
    <w:autoRedefine/>
    <w:qFormat/>
    <w:uiPriority w:val="0"/>
    <w:pPr>
      <w:autoSpaceDN w:val="0"/>
      <w:outlineLvl w:val="2"/>
    </w:pPr>
    <w:rPr>
      <w:rFonts w:ascii="宋体" w:hAnsi="宋体" w:eastAsia="宋体"/>
    </w:rPr>
  </w:style>
  <w:style w:type="character" w:customStyle="1" w:styleId="137">
    <w:name w:val="个人答复风格"/>
    <w:autoRedefine/>
    <w:qFormat/>
    <w:uiPriority w:val="0"/>
    <w:rPr>
      <w:rFonts w:ascii="Arial" w:hAnsi="Arial" w:eastAsia="宋体" w:cs="Arial"/>
      <w:color w:val="auto"/>
      <w:spacing w:val="0"/>
      <w:sz w:val="20"/>
    </w:rPr>
  </w:style>
  <w:style w:type="character" w:customStyle="1" w:styleId="138">
    <w:name w:val="个人撰写风格"/>
    <w:autoRedefine/>
    <w:qFormat/>
    <w:uiPriority w:val="0"/>
    <w:rPr>
      <w:rFonts w:ascii="Arial" w:hAnsi="Arial" w:eastAsia="宋体" w:cs="Arial"/>
      <w:color w:val="auto"/>
      <w:spacing w:val="0"/>
      <w:sz w:val="20"/>
    </w:rPr>
  </w:style>
  <w:style w:type="paragraph" w:customStyle="1" w:styleId="139">
    <w:name w:val="脚注后续"/>
    <w:autoRedefine/>
    <w:qFormat/>
    <w:uiPriority w:val="0"/>
    <w:pPr>
      <w:ind w:left="350" w:leftChars="350"/>
      <w:jc w:val="both"/>
    </w:pPr>
    <w:rPr>
      <w:rFonts w:ascii="宋体" w:hAnsi="Times New Roman" w:eastAsia="宋体" w:cs="Times New Roman"/>
      <w:sz w:val="18"/>
      <w:lang w:val="en-US" w:eastAsia="zh-CN" w:bidi="ar-SA"/>
    </w:rPr>
  </w:style>
  <w:style w:type="paragraph" w:customStyle="1" w:styleId="140">
    <w:name w:val="列项——"/>
    <w:autoRedefine/>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1">
    <w:name w:val="列项·"/>
    <w:basedOn w:val="57"/>
    <w:autoRedefine/>
    <w:qFormat/>
    <w:uiPriority w:val="0"/>
    <w:pPr>
      <w:tabs>
        <w:tab w:val="left" w:pos="840"/>
      </w:tabs>
    </w:pPr>
  </w:style>
  <w:style w:type="paragraph" w:customStyle="1" w:styleId="142">
    <w:name w:val="目次、索引正文"/>
    <w:autoRedefine/>
    <w:qFormat/>
    <w:uiPriority w:val="0"/>
    <w:pPr>
      <w:spacing w:line="320" w:lineRule="exact"/>
      <w:jc w:val="both"/>
    </w:pPr>
    <w:rPr>
      <w:rFonts w:ascii="宋体" w:hAnsi="Times New Roman" w:eastAsia="宋体" w:cs="Times New Roman"/>
      <w:sz w:val="21"/>
      <w:lang w:val="en-US" w:eastAsia="zh-CN" w:bidi="ar-SA"/>
    </w:rPr>
  </w:style>
  <w:style w:type="paragraph" w:customStyle="1" w:styleId="143">
    <w:name w:val="目录 21"/>
    <w:basedOn w:val="1"/>
    <w:next w:val="1"/>
    <w:autoRedefine/>
    <w:semiHidden/>
    <w:qFormat/>
    <w:uiPriority w:val="0"/>
    <w:pPr>
      <w:adjustRightInd/>
      <w:spacing w:line="240" w:lineRule="auto"/>
      <w:jc w:val="left"/>
    </w:pPr>
    <w:rPr>
      <w:bCs/>
      <w:iCs/>
    </w:rPr>
  </w:style>
  <w:style w:type="paragraph" w:customStyle="1" w:styleId="144">
    <w:name w:val="目录 31"/>
    <w:basedOn w:val="1"/>
    <w:next w:val="1"/>
    <w:autoRedefine/>
    <w:semiHidden/>
    <w:qFormat/>
    <w:uiPriority w:val="0"/>
    <w:pPr>
      <w:spacing w:line="240" w:lineRule="auto"/>
    </w:pPr>
    <w:rPr>
      <w:rFonts w:ascii="宋体" w:hAnsi="宋体"/>
      <w:iCs/>
    </w:rPr>
  </w:style>
  <w:style w:type="paragraph" w:customStyle="1" w:styleId="145">
    <w:name w:val="目录 41"/>
    <w:basedOn w:val="1"/>
    <w:next w:val="1"/>
    <w:autoRedefine/>
    <w:semiHidden/>
    <w:qFormat/>
    <w:uiPriority w:val="0"/>
    <w:pPr>
      <w:adjustRightInd/>
      <w:spacing w:line="240" w:lineRule="auto"/>
      <w:jc w:val="left"/>
    </w:pPr>
  </w:style>
  <w:style w:type="paragraph" w:customStyle="1" w:styleId="146">
    <w:name w:val="目录 51"/>
    <w:basedOn w:val="1"/>
    <w:next w:val="1"/>
    <w:autoRedefine/>
    <w:semiHidden/>
    <w:qFormat/>
    <w:uiPriority w:val="0"/>
    <w:pPr>
      <w:spacing w:line="240" w:lineRule="auto"/>
    </w:pPr>
    <w:rPr>
      <w:rFonts w:ascii="宋体" w:hAnsi="宋体"/>
    </w:rPr>
  </w:style>
  <w:style w:type="paragraph" w:customStyle="1" w:styleId="147">
    <w:name w:val="目录 61"/>
    <w:basedOn w:val="1"/>
    <w:next w:val="1"/>
    <w:autoRedefine/>
    <w:semiHidden/>
    <w:qFormat/>
    <w:uiPriority w:val="0"/>
    <w:pPr>
      <w:adjustRightInd/>
      <w:spacing w:line="240" w:lineRule="auto"/>
      <w:jc w:val="left"/>
    </w:pPr>
  </w:style>
  <w:style w:type="paragraph" w:customStyle="1" w:styleId="148">
    <w:name w:val="目录 71"/>
    <w:basedOn w:val="147"/>
    <w:autoRedefine/>
    <w:semiHidden/>
    <w:qFormat/>
    <w:uiPriority w:val="0"/>
    <w:pPr>
      <w:ind w:left="1260"/>
    </w:pPr>
  </w:style>
  <w:style w:type="paragraph" w:customStyle="1" w:styleId="149">
    <w:name w:val="目录 81"/>
    <w:basedOn w:val="148"/>
    <w:autoRedefine/>
    <w:semiHidden/>
    <w:qFormat/>
    <w:uiPriority w:val="0"/>
    <w:pPr>
      <w:ind w:left="1470"/>
    </w:pPr>
  </w:style>
  <w:style w:type="paragraph" w:customStyle="1" w:styleId="150">
    <w:name w:val="目录 91"/>
    <w:basedOn w:val="149"/>
    <w:autoRedefine/>
    <w:semiHidden/>
    <w:qFormat/>
    <w:uiPriority w:val="0"/>
    <w:pPr>
      <w:ind w:left="1680"/>
    </w:pPr>
  </w:style>
  <w:style w:type="paragraph" w:customStyle="1" w:styleId="151">
    <w:name w:val="其他标准称谓"/>
    <w:autoRedefine/>
    <w:qFormat/>
    <w:uiPriority w:val="0"/>
    <w:pPr>
      <w:spacing w:line="0" w:lineRule="atLeast"/>
      <w:jc w:val="distribute"/>
    </w:pPr>
    <w:rPr>
      <w:rFonts w:ascii="黑体" w:hAnsi="宋体" w:eastAsia="黑体" w:cs="Times New Roman"/>
      <w:sz w:val="52"/>
      <w:lang w:val="en-US" w:eastAsia="zh-CN" w:bidi="ar-SA"/>
    </w:rPr>
  </w:style>
  <w:style w:type="paragraph" w:customStyle="1" w:styleId="152">
    <w:name w:val="其他发布部门"/>
    <w:basedOn w:val="120"/>
    <w:autoRedefine/>
    <w:qFormat/>
    <w:uiPriority w:val="0"/>
    <w:pPr>
      <w:framePr w:wrap="around"/>
      <w:spacing w:line="0" w:lineRule="atLeast"/>
    </w:pPr>
    <w:rPr>
      <w:rFonts w:ascii="黑体" w:eastAsia="黑体"/>
      <w:b w:val="0"/>
    </w:rPr>
  </w:style>
  <w:style w:type="paragraph" w:customStyle="1" w:styleId="153">
    <w:name w:val="前言标题"/>
    <w:next w:val="1"/>
    <w:autoRedefine/>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4">
    <w:name w:val="三级无标题条"/>
    <w:basedOn w:val="1"/>
    <w:autoRedefine/>
    <w:qFormat/>
    <w:uiPriority w:val="0"/>
    <w:pPr>
      <w:numPr>
        <w:ilvl w:val="4"/>
        <w:numId w:val="20"/>
      </w:numPr>
      <w:adjustRightInd/>
      <w:spacing w:line="240" w:lineRule="auto"/>
    </w:pPr>
    <w:rPr>
      <w:rFonts w:ascii="宋体" w:hAnsi="宋体"/>
      <w:szCs w:val="24"/>
    </w:rPr>
  </w:style>
  <w:style w:type="paragraph" w:customStyle="1" w:styleId="155">
    <w:name w:val="实施日期"/>
    <w:basedOn w:val="121"/>
    <w:autoRedefine/>
    <w:qFormat/>
    <w:uiPriority w:val="0"/>
    <w:pPr>
      <w:framePr w:hSpace="0" w:wrap="around" w:xAlign="right"/>
      <w:jc w:val="right"/>
    </w:pPr>
  </w:style>
  <w:style w:type="paragraph" w:customStyle="1" w:styleId="156">
    <w:name w:val="四级无标题条"/>
    <w:basedOn w:val="1"/>
    <w:autoRedefine/>
    <w:qFormat/>
    <w:uiPriority w:val="0"/>
    <w:pPr>
      <w:numPr>
        <w:ilvl w:val="5"/>
        <w:numId w:val="20"/>
      </w:numPr>
      <w:adjustRightInd/>
      <w:spacing w:line="240" w:lineRule="auto"/>
    </w:pPr>
    <w:rPr>
      <w:rFonts w:ascii="宋体" w:hAnsi="宋体"/>
      <w:szCs w:val="24"/>
    </w:rPr>
  </w:style>
  <w:style w:type="paragraph" w:customStyle="1" w:styleId="157">
    <w:name w:val="文献分类号"/>
    <w:autoRedefine/>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8">
    <w:name w:val="无标题条"/>
    <w:next w:val="57"/>
    <w:autoRedefine/>
    <w:qFormat/>
    <w:uiPriority w:val="0"/>
    <w:pPr>
      <w:jc w:val="both"/>
    </w:pPr>
    <w:rPr>
      <w:rFonts w:ascii="宋体" w:hAnsi="宋体" w:eastAsia="宋体" w:cs="Times New Roman"/>
      <w:sz w:val="21"/>
      <w:lang w:val="en-US" w:eastAsia="zh-CN" w:bidi="ar-SA"/>
    </w:rPr>
  </w:style>
  <w:style w:type="paragraph" w:customStyle="1" w:styleId="159">
    <w:name w:val="五级无标题条"/>
    <w:basedOn w:val="1"/>
    <w:autoRedefine/>
    <w:qFormat/>
    <w:uiPriority w:val="0"/>
    <w:pPr>
      <w:numPr>
        <w:ilvl w:val="6"/>
        <w:numId w:val="20"/>
      </w:numPr>
      <w:adjustRightInd/>
    </w:pPr>
    <w:rPr>
      <w:szCs w:val="24"/>
    </w:rPr>
  </w:style>
  <w:style w:type="paragraph" w:customStyle="1" w:styleId="160">
    <w:name w:val="一级无标题条"/>
    <w:basedOn w:val="1"/>
    <w:autoRedefine/>
    <w:qFormat/>
    <w:uiPriority w:val="0"/>
    <w:pPr>
      <w:numPr>
        <w:ilvl w:val="2"/>
        <w:numId w:val="20"/>
      </w:numPr>
      <w:adjustRightInd/>
      <w:spacing w:before="10" w:after="10" w:line="240" w:lineRule="auto"/>
    </w:pPr>
    <w:rPr>
      <w:rFonts w:ascii="宋体" w:hAnsi="宋体"/>
      <w:szCs w:val="24"/>
    </w:rPr>
  </w:style>
  <w:style w:type="paragraph" w:customStyle="1" w:styleId="161">
    <w:name w:val="注:后续"/>
    <w:autoRedefine/>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2">
    <w:name w:val="注×:后续"/>
    <w:basedOn w:val="161"/>
    <w:autoRedefine/>
    <w:qFormat/>
    <w:uiPriority w:val="0"/>
    <w:pPr>
      <w:ind w:left="1406" w:leftChars="0" w:hanging="499" w:firstLineChars="0"/>
    </w:pPr>
  </w:style>
  <w:style w:type="paragraph" w:customStyle="1" w:styleId="163">
    <w:name w:val="标准文件_一级无标题"/>
    <w:basedOn w:val="106"/>
    <w:autoRedefine/>
    <w:qFormat/>
    <w:uiPriority w:val="0"/>
    <w:pPr>
      <w:spacing w:before="0" w:beforeLines="0" w:after="0" w:afterLines="0"/>
      <w:outlineLvl w:val="9"/>
    </w:pPr>
    <w:rPr>
      <w:rFonts w:ascii="宋体" w:eastAsia="宋体"/>
    </w:rPr>
  </w:style>
  <w:style w:type="paragraph" w:customStyle="1" w:styleId="164">
    <w:name w:val="标准文件_五级无标题"/>
    <w:basedOn w:val="104"/>
    <w:autoRedefine/>
    <w:qFormat/>
    <w:uiPriority w:val="0"/>
    <w:pPr>
      <w:spacing w:before="0" w:beforeLines="0" w:after="0" w:afterLines="0"/>
      <w:outlineLvl w:val="9"/>
    </w:pPr>
    <w:rPr>
      <w:rFonts w:ascii="宋体" w:eastAsia="宋体"/>
    </w:rPr>
  </w:style>
  <w:style w:type="paragraph" w:customStyle="1" w:styleId="165">
    <w:name w:val="标准文件_三级无标题"/>
    <w:basedOn w:val="95"/>
    <w:autoRedefine/>
    <w:qFormat/>
    <w:uiPriority w:val="0"/>
    <w:pPr>
      <w:numPr>
        <w:ilvl w:val="0"/>
        <w:numId w:val="0"/>
      </w:numPr>
      <w:spacing w:before="0" w:beforeLines="0" w:after="0" w:afterLines="0"/>
      <w:outlineLvl w:val="9"/>
    </w:pPr>
    <w:rPr>
      <w:rFonts w:ascii="宋体" w:eastAsia="宋体"/>
    </w:rPr>
  </w:style>
  <w:style w:type="paragraph" w:customStyle="1" w:styleId="166">
    <w:name w:val="标准文件_二级无标题"/>
    <w:basedOn w:val="66"/>
    <w:autoRedefine/>
    <w:qFormat/>
    <w:uiPriority w:val="0"/>
    <w:pPr>
      <w:spacing w:before="0" w:beforeLines="0" w:after="0" w:afterLines="0"/>
      <w:outlineLvl w:val="9"/>
    </w:pPr>
    <w:rPr>
      <w:rFonts w:ascii="宋体" w:eastAsia="宋体"/>
    </w:rPr>
  </w:style>
  <w:style w:type="paragraph" w:customStyle="1" w:styleId="167">
    <w:name w:val="标准_四级无标题"/>
    <w:basedOn w:val="99"/>
    <w:next w:val="57"/>
    <w:autoRedefine/>
    <w:qFormat/>
    <w:uiPriority w:val="0"/>
    <w:rPr>
      <w:rFonts w:eastAsia="宋体"/>
    </w:rPr>
  </w:style>
  <w:style w:type="paragraph" w:customStyle="1" w:styleId="168">
    <w:name w:val="标准文件_四级无标题"/>
    <w:basedOn w:val="99"/>
    <w:autoRedefine/>
    <w:qFormat/>
    <w:uiPriority w:val="0"/>
    <w:pPr>
      <w:spacing w:before="0" w:beforeLines="0" w:after="0" w:afterLines="0"/>
      <w:outlineLvl w:val="9"/>
    </w:pPr>
    <w:rPr>
      <w:rFonts w:ascii="宋体" w:hAnsi="黑体" w:eastAsia="宋体"/>
      <w:szCs w:val="52"/>
    </w:rPr>
  </w:style>
  <w:style w:type="paragraph" w:customStyle="1" w:styleId="169">
    <w:name w:val="标准文件_大写罗马数字编号列项"/>
    <w:basedOn w:val="57"/>
    <w:autoRedefine/>
    <w:qFormat/>
    <w:uiPriority w:val="0"/>
    <w:pPr>
      <w:numPr>
        <w:ilvl w:val="0"/>
        <w:numId w:val="23"/>
      </w:numPr>
      <w:ind w:firstLine="0" w:firstLineChars="0"/>
    </w:pPr>
    <w:rPr>
      <w:rFonts w:ascii="Times New Roman" w:cs="Arial"/>
      <w:szCs w:val="28"/>
    </w:rPr>
  </w:style>
  <w:style w:type="paragraph" w:customStyle="1" w:styleId="170">
    <w:name w:val="标准文件_小写罗马数字编号列项"/>
    <w:basedOn w:val="57"/>
    <w:autoRedefine/>
    <w:qFormat/>
    <w:uiPriority w:val="0"/>
    <w:pPr>
      <w:numPr>
        <w:ilvl w:val="0"/>
        <w:numId w:val="24"/>
      </w:numPr>
      <w:ind w:firstLine="0" w:firstLineChars="0"/>
    </w:pPr>
    <w:rPr>
      <w:rFonts w:cs="Arial"/>
      <w:szCs w:val="28"/>
    </w:rPr>
  </w:style>
  <w:style w:type="paragraph" w:customStyle="1" w:styleId="171">
    <w:name w:val="标准文件_附录标题"/>
    <w:basedOn w:val="77"/>
    <w:autoRedefine/>
    <w:qFormat/>
    <w:uiPriority w:val="0"/>
    <w:pPr>
      <w:numPr>
        <w:numId w:val="0"/>
      </w:numPr>
      <w:spacing w:after="280"/>
      <w:outlineLvl w:val="9"/>
    </w:pPr>
  </w:style>
  <w:style w:type="paragraph" w:customStyle="1" w:styleId="172">
    <w:name w:val="标准文件_二级项"/>
    <w:autoRedefine/>
    <w:qFormat/>
    <w:uiPriority w:val="0"/>
    <w:rPr>
      <w:rFonts w:ascii="宋体" w:hAnsi="Times New Roman" w:eastAsia="宋体" w:cs="Times New Roman"/>
      <w:sz w:val="21"/>
      <w:lang w:val="en-US" w:eastAsia="zh-CN" w:bidi="ar-SA"/>
    </w:rPr>
  </w:style>
  <w:style w:type="paragraph" w:customStyle="1" w:styleId="173">
    <w:name w:val="标准文件_三级项"/>
    <w:basedOn w:val="1"/>
    <w:autoRedefine/>
    <w:qFormat/>
    <w:uiPriority w:val="0"/>
    <w:pPr>
      <w:numPr>
        <w:ilvl w:val="2"/>
        <w:numId w:val="21"/>
      </w:numPr>
      <w:spacing w:line="536870612" w:lineRule="auto"/>
    </w:pPr>
    <w:rPr>
      <w:rFonts w:ascii="Times New Roman" w:hAnsi="Times New Roman"/>
    </w:rPr>
  </w:style>
  <w:style w:type="paragraph" w:customStyle="1" w:styleId="174">
    <w:name w:val="图表脚注说明"/>
    <w:basedOn w:val="1"/>
    <w:next w:val="57"/>
    <w:autoRedefine/>
    <w:qFormat/>
    <w:uiPriority w:val="0"/>
    <w:pPr>
      <w:numPr>
        <w:ilvl w:val="0"/>
        <w:numId w:val="25"/>
      </w:numPr>
      <w:adjustRightInd/>
      <w:spacing w:line="240" w:lineRule="auto"/>
      <w:ind w:left="783"/>
    </w:pPr>
    <w:rPr>
      <w:rFonts w:ascii="宋体" w:hAnsi="Times New Roman"/>
      <w:sz w:val="18"/>
      <w:szCs w:val="18"/>
    </w:rPr>
  </w:style>
  <w:style w:type="paragraph" w:customStyle="1" w:styleId="175">
    <w:name w:val="标准文件_字母编号列项（一级）"/>
    <w:autoRedefine/>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6">
    <w:name w:val="标准文件_索引字母"/>
    <w:next w:val="57"/>
    <w:autoRedefine/>
    <w:qFormat/>
    <w:uiPriority w:val="0"/>
    <w:pPr>
      <w:jc w:val="center"/>
    </w:pPr>
    <w:rPr>
      <w:rFonts w:ascii="宋体" w:hAnsi="宋体" w:eastAsia="Times New Roman" w:cs="Times New Roman"/>
      <w:b/>
      <w:kern w:val="2"/>
      <w:sz w:val="21"/>
      <w:lang w:val="en-US" w:eastAsia="zh-CN" w:bidi="ar-SA"/>
    </w:rPr>
  </w:style>
  <w:style w:type="paragraph" w:customStyle="1" w:styleId="177">
    <w:name w:val="标准文件_附录前"/>
    <w:next w:val="57"/>
    <w:autoRedefine/>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8">
    <w:name w:val="标准文件_正文标准名称"/>
    <w:autoRedefine/>
    <w:qFormat/>
    <w:uiPriority w:val="0"/>
    <w:pPr>
      <w:spacing w:after="640" w:line="400" w:lineRule="exact"/>
      <w:jc w:val="center"/>
    </w:pPr>
    <w:rPr>
      <w:rFonts w:ascii="黑体" w:hAnsi="黑体" w:eastAsia="黑体" w:cs="Times New Roman"/>
      <w:kern w:val="2"/>
      <w:sz w:val="32"/>
      <w:szCs w:val="32"/>
      <w:lang w:val="en-US" w:eastAsia="zh-CN" w:bidi="ar-SA"/>
    </w:rPr>
  </w:style>
  <w:style w:type="paragraph" w:customStyle="1" w:styleId="179">
    <w:name w:val="标准文件_表格"/>
    <w:basedOn w:val="57"/>
    <w:autoRedefine/>
    <w:qFormat/>
    <w:uiPriority w:val="0"/>
    <w:pPr>
      <w:ind w:firstLine="0" w:firstLineChars="0"/>
      <w:jc w:val="center"/>
    </w:pPr>
    <w:rPr>
      <w:sz w:val="18"/>
    </w:rPr>
  </w:style>
  <w:style w:type="paragraph" w:customStyle="1" w:styleId="180">
    <w:name w:val="标准文件_注："/>
    <w:next w:val="57"/>
    <w:autoRedefine/>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注×："/>
    <w:autoRedefine/>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示例："/>
    <w:next w:val="183"/>
    <w:autoRedefine/>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3">
    <w:name w:val="标准文件_示例内容"/>
    <w:basedOn w:val="57"/>
    <w:autoRedefine/>
    <w:qFormat/>
    <w:uiPriority w:val="0"/>
    <w:pPr>
      <w:ind w:firstLine="420"/>
    </w:pPr>
    <w:rPr>
      <w:sz w:val="18"/>
    </w:rPr>
  </w:style>
  <w:style w:type="paragraph" w:customStyle="1" w:styleId="184">
    <w:name w:val="标准文件_示例×："/>
    <w:basedOn w:val="1"/>
    <w:next w:val="183"/>
    <w:autoRedefine/>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5">
    <w:name w:val="标准文件_段 Char"/>
    <w:link w:val="57"/>
    <w:autoRedefine/>
    <w:qFormat/>
    <w:uiPriority w:val="0"/>
    <w:rPr>
      <w:rFonts w:ascii="宋体" w:hAnsi="Times New Roman"/>
      <w:sz w:val="21"/>
    </w:rPr>
  </w:style>
  <w:style w:type="paragraph" w:customStyle="1" w:styleId="186">
    <w:name w:val="标准文件_表格续"/>
    <w:basedOn w:val="57"/>
    <w:next w:val="57"/>
    <w:autoRedefine/>
    <w:qFormat/>
    <w:uiPriority w:val="0"/>
    <w:pPr>
      <w:jc w:val="center"/>
    </w:pPr>
    <w:rPr>
      <w:rFonts w:ascii="黑体" w:hAnsi="黑体" w:eastAsia="黑体"/>
    </w:rPr>
  </w:style>
  <w:style w:type="character" w:styleId="187">
    <w:name w:val="Placeholder Text"/>
    <w:basedOn w:val="29"/>
    <w:autoRedefine/>
    <w:semiHidden/>
    <w:qFormat/>
    <w:uiPriority w:val="99"/>
    <w:rPr>
      <w:color w:val="808080"/>
    </w:rPr>
  </w:style>
  <w:style w:type="paragraph" w:customStyle="1" w:styleId="188">
    <w:name w:val="标准文件_二级项2"/>
    <w:basedOn w:val="57"/>
    <w:autoRedefine/>
    <w:qFormat/>
    <w:uiPriority w:val="0"/>
    <w:pPr>
      <w:numPr>
        <w:ilvl w:val="1"/>
        <w:numId w:val="21"/>
      </w:numPr>
      <w:ind w:left="1271" w:hanging="420" w:firstLineChars="0"/>
    </w:pPr>
  </w:style>
  <w:style w:type="paragraph" w:customStyle="1" w:styleId="189">
    <w:name w:val="标准文件_三级项2"/>
    <w:basedOn w:val="57"/>
    <w:autoRedefine/>
    <w:qFormat/>
    <w:uiPriority w:val="0"/>
    <w:pPr>
      <w:numPr>
        <w:ilvl w:val="0"/>
        <w:numId w:val="30"/>
      </w:numPr>
      <w:spacing w:line="300" w:lineRule="exact"/>
      <w:ind w:left="1276" w:hanging="425" w:firstLineChars="0"/>
    </w:pPr>
    <w:rPr>
      <w:rFonts w:ascii="Times New Roman"/>
    </w:rPr>
  </w:style>
  <w:style w:type="paragraph" w:customStyle="1" w:styleId="190">
    <w:name w:val="标准文件_一级项2"/>
    <w:basedOn w:val="57"/>
    <w:autoRedefine/>
    <w:qFormat/>
    <w:uiPriority w:val="0"/>
    <w:pPr>
      <w:numPr>
        <w:ilvl w:val="0"/>
        <w:numId w:val="31"/>
      </w:numPr>
      <w:spacing w:line="300" w:lineRule="exact"/>
      <w:ind w:left="1271" w:hanging="420" w:firstLineChars="0"/>
    </w:pPr>
    <w:rPr>
      <w:rFonts w:ascii="Times New Roman"/>
    </w:rPr>
  </w:style>
  <w:style w:type="paragraph" w:customStyle="1" w:styleId="191">
    <w:name w:val="标准文件_提示"/>
    <w:basedOn w:val="57"/>
    <w:next w:val="57"/>
    <w:autoRedefine/>
    <w:qFormat/>
    <w:uiPriority w:val="0"/>
    <w:pPr>
      <w:ind w:firstLine="420"/>
    </w:pPr>
    <w:rPr>
      <w:rFonts w:ascii="黑体" w:eastAsia="黑体"/>
    </w:rPr>
  </w:style>
  <w:style w:type="character" w:customStyle="1" w:styleId="192">
    <w:name w:val="标准文件_来源"/>
    <w:basedOn w:val="29"/>
    <w:autoRedefine/>
    <w:qFormat/>
    <w:uiPriority w:val="1"/>
    <w:rPr>
      <w:rFonts w:eastAsia="宋体"/>
      <w:sz w:val="21"/>
    </w:rPr>
  </w:style>
  <w:style w:type="paragraph" w:customStyle="1" w:styleId="193">
    <w:name w:val="标准文件_图表说明"/>
    <w:autoRedefine/>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4">
    <w:name w:val="其他发布日期"/>
    <w:basedOn w:val="121"/>
    <w:autoRedefine/>
    <w:qFormat/>
    <w:uiPriority w:val="0"/>
    <w:pPr>
      <w:framePr w:w="3997" w:h="471" w:hRule="exact" w:hSpace="0" w:vSpace="181" w:wrap="around" w:vAnchor="page" w:hAnchor="page" w:x="1419" w:y="14097"/>
    </w:pPr>
  </w:style>
  <w:style w:type="paragraph" w:customStyle="1" w:styleId="195">
    <w:name w:val="其他实施日期"/>
    <w:basedOn w:val="155"/>
    <w:autoRedefine/>
    <w:qFormat/>
    <w:uiPriority w:val="0"/>
    <w:pPr>
      <w:framePr w:w="3997" w:h="471" w:hRule="exact" w:vSpace="181" w:wrap="around" w:vAnchor="page" w:hAnchor="page" w:x="7089" w:y="14097"/>
    </w:pPr>
  </w:style>
  <w:style w:type="paragraph" w:customStyle="1" w:styleId="196">
    <w:name w:val="标准文件_文件编号"/>
    <w:basedOn w:val="57"/>
    <w:autoRedefine/>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7">
    <w:name w:val="标准文件_替换文件编号"/>
    <w:basedOn w:val="196"/>
    <w:autoRedefine/>
    <w:qFormat/>
    <w:uiPriority w:val="0"/>
    <w:pPr>
      <w:spacing w:before="57"/>
    </w:pPr>
    <w:rPr>
      <w:sz w:val="21"/>
    </w:rPr>
  </w:style>
  <w:style w:type="paragraph" w:customStyle="1" w:styleId="198">
    <w:name w:val="标准文件_文件名称"/>
    <w:basedOn w:val="57"/>
    <w:next w:val="57"/>
    <w:autoRedefine/>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9">
    <w:name w:val="标准文件_附录图标号"/>
    <w:basedOn w:val="57"/>
    <w:next w:val="57"/>
    <w:autoRedefine/>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0">
    <w:name w:val="标准文件_附录表标号"/>
    <w:basedOn w:val="57"/>
    <w:next w:val="57"/>
    <w:autoRedefine/>
    <w:qFormat/>
    <w:uiPriority w:val="0"/>
    <w:pPr>
      <w:numPr>
        <w:ilvl w:val="0"/>
        <w:numId w:val="5"/>
      </w:numPr>
      <w:spacing w:line="14" w:lineRule="exact"/>
      <w:ind w:firstLine="0" w:firstLineChars="0"/>
      <w:jc w:val="center"/>
    </w:pPr>
    <w:rPr>
      <w:rFonts w:eastAsia="黑体"/>
      <w:vanish/>
      <w:sz w:val="2"/>
    </w:rPr>
  </w:style>
  <w:style w:type="paragraph" w:customStyle="1" w:styleId="201">
    <w:name w:val="标准文件_引言一级条标题"/>
    <w:basedOn w:val="57"/>
    <w:next w:val="57"/>
    <w:autoRedefine/>
    <w:qFormat/>
    <w:uiPriority w:val="0"/>
    <w:pPr>
      <w:numPr>
        <w:ilvl w:val="1"/>
        <w:numId w:val="8"/>
      </w:numPr>
      <w:spacing w:before="50" w:beforeLines="50" w:after="50" w:afterLines="50"/>
      <w:ind w:firstLineChars="0"/>
    </w:pPr>
    <w:rPr>
      <w:rFonts w:ascii="黑体" w:eastAsia="黑体"/>
    </w:rPr>
  </w:style>
  <w:style w:type="paragraph" w:customStyle="1" w:styleId="202">
    <w:name w:val="标准文件_引言二级条标题"/>
    <w:basedOn w:val="57"/>
    <w:next w:val="57"/>
    <w:autoRedefine/>
    <w:qFormat/>
    <w:uiPriority w:val="0"/>
    <w:pPr>
      <w:numPr>
        <w:ilvl w:val="2"/>
        <w:numId w:val="8"/>
      </w:numPr>
      <w:spacing w:before="50" w:beforeLines="50" w:after="50" w:afterLines="50"/>
      <w:ind w:firstLineChars="0"/>
    </w:pPr>
    <w:rPr>
      <w:rFonts w:ascii="黑体" w:eastAsia="黑体"/>
    </w:rPr>
  </w:style>
  <w:style w:type="paragraph" w:customStyle="1" w:styleId="203">
    <w:name w:val="标准文件_引言三级条标题"/>
    <w:basedOn w:val="57"/>
    <w:next w:val="57"/>
    <w:autoRedefine/>
    <w:qFormat/>
    <w:uiPriority w:val="0"/>
    <w:pPr>
      <w:numPr>
        <w:ilvl w:val="3"/>
        <w:numId w:val="8"/>
      </w:numPr>
      <w:spacing w:before="50" w:beforeLines="50" w:after="50" w:afterLines="50"/>
      <w:ind w:firstLineChars="0"/>
    </w:pPr>
    <w:rPr>
      <w:rFonts w:ascii="黑体" w:eastAsia="黑体"/>
    </w:rPr>
  </w:style>
  <w:style w:type="paragraph" w:customStyle="1" w:styleId="204">
    <w:name w:val="标准文件_引言四级条标题"/>
    <w:basedOn w:val="57"/>
    <w:next w:val="57"/>
    <w:autoRedefine/>
    <w:qFormat/>
    <w:uiPriority w:val="0"/>
    <w:pPr>
      <w:numPr>
        <w:ilvl w:val="4"/>
        <w:numId w:val="8"/>
      </w:numPr>
      <w:spacing w:before="50" w:beforeLines="50" w:after="50" w:afterLines="50"/>
      <w:ind w:firstLineChars="0"/>
    </w:pPr>
    <w:rPr>
      <w:rFonts w:ascii="黑体" w:eastAsia="黑体"/>
    </w:rPr>
  </w:style>
  <w:style w:type="paragraph" w:customStyle="1" w:styleId="205">
    <w:name w:val="标准文件_引言五级条标题"/>
    <w:basedOn w:val="57"/>
    <w:next w:val="57"/>
    <w:autoRedefine/>
    <w:qFormat/>
    <w:uiPriority w:val="0"/>
    <w:pPr>
      <w:numPr>
        <w:ilvl w:val="5"/>
        <w:numId w:val="8"/>
      </w:numPr>
      <w:spacing w:before="50" w:beforeLines="50" w:after="50" w:afterLines="50"/>
      <w:ind w:firstLineChars="0"/>
    </w:pPr>
    <w:rPr>
      <w:rFonts w:ascii="黑体" w:eastAsia="黑体"/>
    </w:rPr>
  </w:style>
  <w:style w:type="paragraph" w:customStyle="1" w:styleId="206">
    <w:name w:val="标准文件_注后"/>
    <w:basedOn w:val="57"/>
    <w:autoRedefine/>
    <w:qFormat/>
    <w:uiPriority w:val="0"/>
    <w:pPr>
      <w:ind w:left="811" w:firstLine="0" w:firstLineChars="0"/>
    </w:pPr>
    <w:rPr>
      <w:sz w:val="18"/>
    </w:rPr>
  </w:style>
  <w:style w:type="paragraph" w:customStyle="1" w:styleId="207">
    <w:name w:val="标准文件_注X后"/>
    <w:basedOn w:val="57"/>
    <w:autoRedefine/>
    <w:qFormat/>
    <w:uiPriority w:val="0"/>
    <w:pPr>
      <w:ind w:left="811" w:firstLine="0" w:firstLineChars="0"/>
    </w:pPr>
    <w:rPr>
      <w:sz w:val="18"/>
    </w:rPr>
  </w:style>
  <w:style w:type="paragraph" w:customStyle="1" w:styleId="208">
    <w:name w:val="标准文件_示例后"/>
    <w:basedOn w:val="57"/>
    <w:autoRedefine/>
    <w:qFormat/>
    <w:uiPriority w:val="0"/>
    <w:pPr>
      <w:ind w:left="964" w:firstLine="0" w:firstLineChars="0"/>
    </w:pPr>
    <w:rPr>
      <w:sz w:val="18"/>
    </w:rPr>
  </w:style>
  <w:style w:type="paragraph" w:customStyle="1" w:styleId="209">
    <w:name w:val="标准文件_示例X后"/>
    <w:basedOn w:val="57"/>
    <w:link w:val="210"/>
    <w:autoRedefine/>
    <w:qFormat/>
    <w:uiPriority w:val="0"/>
    <w:pPr>
      <w:ind w:left="1049" w:firstLine="0" w:firstLineChars="0"/>
    </w:pPr>
    <w:rPr>
      <w:sz w:val="18"/>
    </w:rPr>
  </w:style>
  <w:style w:type="character" w:customStyle="1" w:styleId="210">
    <w:name w:val="标准文件_示例X后 字符"/>
    <w:basedOn w:val="185"/>
    <w:link w:val="209"/>
    <w:autoRedefine/>
    <w:qFormat/>
    <w:uiPriority w:val="0"/>
    <w:rPr>
      <w:rFonts w:ascii="宋体" w:hAnsi="Times New Roman"/>
      <w:sz w:val="18"/>
    </w:rPr>
  </w:style>
  <w:style w:type="paragraph" w:customStyle="1" w:styleId="211">
    <w:name w:val="标准文件_索引项"/>
    <w:basedOn w:val="57"/>
    <w:next w:val="57"/>
    <w:autoRedefine/>
    <w:qFormat/>
    <w:uiPriority w:val="0"/>
    <w:pPr>
      <w:tabs>
        <w:tab w:val="right" w:leader="dot" w:pos="9356"/>
      </w:tabs>
      <w:ind w:left="210" w:hanging="210" w:firstLineChars="0"/>
      <w:jc w:val="left"/>
    </w:pPr>
  </w:style>
  <w:style w:type="paragraph" w:customStyle="1" w:styleId="212">
    <w:name w:val="标准文件_附录一级无标题"/>
    <w:basedOn w:val="79"/>
    <w:autoRedefine/>
    <w:qFormat/>
    <w:uiPriority w:val="0"/>
    <w:pPr>
      <w:spacing w:before="0" w:beforeLines="0" w:after="0" w:afterLines="0" w:line="276" w:lineRule="auto"/>
      <w:outlineLvl w:val="9"/>
    </w:pPr>
    <w:rPr>
      <w:rFonts w:ascii="宋体" w:eastAsia="宋体"/>
    </w:rPr>
  </w:style>
  <w:style w:type="paragraph" w:customStyle="1" w:styleId="213">
    <w:name w:val="标准文件_附录二级无标题"/>
    <w:basedOn w:val="80"/>
    <w:autoRedefine/>
    <w:qFormat/>
    <w:uiPriority w:val="0"/>
    <w:pPr>
      <w:spacing w:before="0" w:beforeLines="0" w:after="0" w:afterLines="0" w:line="276" w:lineRule="auto"/>
      <w:outlineLvl w:val="9"/>
    </w:pPr>
    <w:rPr>
      <w:rFonts w:ascii="宋体" w:eastAsia="宋体"/>
    </w:rPr>
  </w:style>
  <w:style w:type="paragraph" w:customStyle="1" w:styleId="214">
    <w:name w:val="标准文件_附录三级无标题"/>
    <w:basedOn w:val="82"/>
    <w:autoRedefine/>
    <w:qFormat/>
    <w:uiPriority w:val="0"/>
    <w:pPr>
      <w:spacing w:before="0" w:beforeLines="0" w:after="0" w:afterLines="0" w:line="276" w:lineRule="auto"/>
      <w:outlineLvl w:val="9"/>
    </w:pPr>
    <w:rPr>
      <w:rFonts w:ascii="宋体" w:eastAsia="宋体"/>
    </w:rPr>
  </w:style>
  <w:style w:type="paragraph" w:customStyle="1" w:styleId="215">
    <w:name w:val="标准文件_附录四级无标题"/>
    <w:basedOn w:val="83"/>
    <w:autoRedefine/>
    <w:qFormat/>
    <w:uiPriority w:val="0"/>
    <w:pPr>
      <w:spacing w:before="0" w:beforeLines="0" w:after="0" w:afterLines="0" w:line="276" w:lineRule="auto"/>
      <w:outlineLvl w:val="9"/>
    </w:pPr>
    <w:rPr>
      <w:rFonts w:ascii="宋体" w:eastAsia="宋体"/>
    </w:rPr>
  </w:style>
  <w:style w:type="paragraph" w:customStyle="1" w:styleId="216">
    <w:name w:val="标准文件_附录五级无标题"/>
    <w:basedOn w:val="85"/>
    <w:autoRedefine/>
    <w:qFormat/>
    <w:uiPriority w:val="0"/>
    <w:pPr>
      <w:spacing w:before="0" w:beforeLines="0" w:after="0" w:afterLines="0" w:line="276" w:lineRule="auto"/>
      <w:outlineLvl w:val="9"/>
    </w:pPr>
    <w:rPr>
      <w:rFonts w:ascii="宋体" w:eastAsia="宋体"/>
    </w:rPr>
  </w:style>
  <w:style w:type="paragraph" w:customStyle="1" w:styleId="217">
    <w:name w:val="标准文件_引言一级无标题"/>
    <w:basedOn w:val="201"/>
    <w:next w:val="57"/>
    <w:autoRedefine/>
    <w:qFormat/>
    <w:uiPriority w:val="0"/>
    <w:pPr>
      <w:spacing w:before="0" w:beforeLines="0" w:after="0" w:afterLines="0" w:line="276" w:lineRule="auto"/>
    </w:pPr>
    <w:rPr>
      <w:rFonts w:ascii="宋体" w:eastAsia="宋体"/>
    </w:rPr>
  </w:style>
  <w:style w:type="paragraph" w:customStyle="1" w:styleId="218">
    <w:name w:val="标准文件_引言二级无标题"/>
    <w:basedOn w:val="202"/>
    <w:next w:val="57"/>
    <w:autoRedefine/>
    <w:qFormat/>
    <w:uiPriority w:val="0"/>
    <w:pPr>
      <w:spacing w:before="0" w:beforeLines="0" w:after="0" w:afterLines="0" w:line="276" w:lineRule="auto"/>
    </w:pPr>
    <w:rPr>
      <w:rFonts w:ascii="宋体" w:eastAsia="宋体"/>
    </w:rPr>
  </w:style>
  <w:style w:type="paragraph" w:customStyle="1" w:styleId="219">
    <w:name w:val="标准文件_引言三级无标题"/>
    <w:basedOn w:val="203"/>
    <w:next w:val="57"/>
    <w:autoRedefine/>
    <w:qFormat/>
    <w:uiPriority w:val="0"/>
    <w:pPr>
      <w:spacing w:before="0" w:beforeLines="0" w:after="0" w:afterLines="0" w:line="276" w:lineRule="auto"/>
    </w:pPr>
    <w:rPr>
      <w:rFonts w:ascii="宋体" w:eastAsia="宋体"/>
    </w:rPr>
  </w:style>
  <w:style w:type="paragraph" w:customStyle="1" w:styleId="220">
    <w:name w:val="标准文件_引言四级无标题"/>
    <w:basedOn w:val="204"/>
    <w:next w:val="57"/>
    <w:autoRedefine/>
    <w:qFormat/>
    <w:uiPriority w:val="0"/>
    <w:pPr>
      <w:spacing w:before="0" w:beforeLines="0" w:after="0" w:afterLines="0" w:line="276" w:lineRule="auto"/>
    </w:pPr>
    <w:rPr>
      <w:rFonts w:ascii="宋体" w:eastAsia="宋体"/>
    </w:rPr>
  </w:style>
  <w:style w:type="paragraph" w:customStyle="1" w:styleId="221">
    <w:name w:val="标准文件_引言五级无标题"/>
    <w:basedOn w:val="205"/>
    <w:next w:val="57"/>
    <w:autoRedefine/>
    <w:qFormat/>
    <w:uiPriority w:val="0"/>
    <w:pPr>
      <w:spacing w:before="0" w:beforeLines="0" w:after="0" w:afterLines="0" w:line="276" w:lineRule="auto"/>
    </w:pPr>
    <w:rPr>
      <w:rFonts w:ascii="宋体" w:eastAsia="宋体"/>
    </w:rPr>
  </w:style>
  <w:style w:type="paragraph" w:customStyle="1" w:styleId="222">
    <w:name w:val="标准文件_索引标题"/>
    <w:basedOn w:val="64"/>
    <w:next w:val="57"/>
    <w:autoRedefine/>
    <w:qFormat/>
    <w:uiPriority w:val="0"/>
    <w:rPr>
      <w:rFonts w:hAnsi="黑体"/>
    </w:rPr>
  </w:style>
  <w:style w:type="paragraph" w:customStyle="1" w:styleId="223">
    <w:name w:val="标准文件_脚注内容"/>
    <w:basedOn w:val="57"/>
    <w:autoRedefine/>
    <w:qFormat/>
    <w:uiPriority w:val="0"/>
    <w:pPr>
      <w:ind w:left="400" w:leftChars="200" w:hanging="200" w:hangingChars="200"/>
    </w:pPr>
    <w:rPr>
      <w:sz w:val="15"/>
    </w:rPr>
  </w:style>
  <w:style w:type="paragraph" w:customStyle="1" w:styleId="224">
    <w:name w:val="标准文件_术语条一"/>
    <w:basedOn w:val="163"/>
    <w:next w:val="57"/>
    <w:autoRedefine/>
    <w:qFormat/>
    <w:uiPriority w:val="0"/>
  </w:style>
  <w:style w:type="paragraph" w:customStyle="1" w:styleId="225">
    <w:name w:val="标准文件_术语条二"/>
    <w:basedOn w:val="166"/>
    <w:next w:val="57"/>
    <w:autoRedefine/>
    <w:qFormat/>
    <w:uiPriority w:val="0"/>
  </w:style>
  <w:style w:type="paragraph" w:customStyle="1" w:styleId="226">
    <w:name w:val="标准文件_术语条三"/>
    <w:basedOn w:val="165"/>
    <w:next w:val="57"/>
    <w:autoRedefine/>
    <w:qFormat/>
    <w:uiPriority w:val="0"/>
  </w:style>
  <w:style w:type="paragraph" w:customStyle="1" w:styleId="227">
    <w:name w:val="标准文件_术语条四"/>
    <w:basedOn w:val="168"/>
    <w:next w:val="57"/>
    <w:autoRedefine/>
    <w:qFormat/>
    <w:uiPriority w:val="0"/>
  </w:style>
  <w:style w:type="paragraph" w:customStyle="1" w:styleId="228">
    <w:name w:val="标准文件_术语条五"/>
    <w:basedOn w:val="164"/>
    <w:next w:val="57"/>
    <w:autoRedefine/>
    <w:qFormat/>
    <w:uiPriority w:val="0"/>
  </w:style>
  <w:style w:type="paragraph" w:customStyle="1" w:styleId="229">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0">
    <w:name w:val="发布"/>
    <w:basedOn w:val="29"/>
    <w:autoRedefine/>
    <w:qFormat/>
    <w:uiPriority w:val="0"/>
    <w:rPr>
      <w:rFonts w:ascii="黑体" w:eastAsia="黑体"/>
      <w:spacing w:val="85"/>
      <w:w w:val="100"/>
      <w:position w:val="3"/>
      <w:sz w:val="28"/>
      <w:szCs w:val="28"/>
    </w:rPr>
  </w:style>
  <w:style w:type="character" w:customStyle="1" w:styleId="231">
    <w:name w:val="段 Char"/>
    <w:link w:val="232"/>
    <w:autoRedefine/>
    <w:qFormat/>
    <w:locked/>
    <w:uiPriority w:val="99"/>
    <w:rPr>
      <w:rFonts w:ascii="宋体" w:hAnsi="宋体"/>
      <w:sz w:val="21"/>
    </w:rPr>
  </w:style>
  <w:style w:type="paragraph" w:customStyle="1" w:styleId="232">
    <w:name w:val="段"/>
    <w:link w:val="231"/>
    <w:autoRedefine/>
    <w:qFormat/>
    <w:uiPriority w:val="99"/>
    <w:pPr>
      <w:tabs>
        <w:tab w:val="center" w:pos="4201"/>
        <w:tab w:val="right" w:leader="dot" w:pos="9298"/>
      </w:tabs>
      <w:autoSpaceDE w:val="0"/>
      <w:autoSpaceDN w:val="0"/>
      <w:ind w:firstLine="420" w:firstLineChars="200"/>
      <w:jc w:val="both"/>
    </w:pPr>
    <w:rPr>
      <w:rFonts w:ascii="宋体" w:hAnsi="宋体" w:eastAsia="宋体" w:cs="Times New Roman"/>
      <w:sz w:val="21"/>
      <w:lang w:val="en-US" w:eastAsia="zh-CN" w:bidi="ar-SA"/>
    </w:rPr>
  </w:style>
  <w:style w:type="paragraph" w:customStyle="1" w:styleId="233">
    <w:name w:val="修订1"/>
    <w:autoRedefine/>
    <w:hidden/>
    <w:unhideWhenUsed/>
    <w:qFormat/>
    <w:uiPriority w:val="99"/>
    <w:rPr>
      <w:rFonts w:ascii="Calibri" w:hAnsi="Calibri" w:eastAsia="宋体" w:cs="Times New Roman"/>
      <w:kern w:val="2"/>
      <w:sz w:val="21"/>
      <w:szCs w:val="21"/>
      <w:lang w:val="en-US" w:eastAsia="zh-CN" w:bidi="ar-SA"/>
    </w:rPr>
  </w:style>
  <w:style w:type="paragraph" w:customStyle="1" w:styleId="234">
    <w:name w:val="修订2"/>
    <w:autoRedefine/>
    <w:hidden/>
    <w:unhideWhenUsed/>
    <w:qFormat/>
    <w:uiPriority w:val="99"/>
    <w:rPr>
      <w:rFonts w:ascii="Calibri" w:hAnsi="Calibri"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glossaryDocument" Target="glossary/document.xml"/><Relationship Id="rId24" Type="http://schemas.openxmlformats.org/officeDocument/2006/relationships/fontTable" Target="fontTable.xml"/><Relationship Id="rId23" Type="http://schemas.openxmlformats.org/officeDocument/2006/relationships/customXml" Target="../customXml/item2.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4.jpeg"/><Relationship Id="rId2" Type="http://schemas.openxmlformats.org/officeDocument/2006/relationships/settings" Target="settings.xml"/><Relationship Id="rId19" Type="http://schemas.openxmlformats.org/officeDocument/2006/relationships/image" Target="media/image3.wmf"/><Relationship Id="rId18" Type="http://schemas.openxmlformats.org/officeDocument/2006/relationships/oleObject" Target="embeddings/oleObject1.bin"/><Relationship Id="rId17" Type="http://schemas.openxmlformats.org/officeDocument/2006/relationships/image" Target="media/image2.png"/><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C31066D32DE3434CB0372AD256B5F337"/>
        <w:style w:val=""/>
        <w:category>
          <w:name w:val="常规"/>
          <w:gallery w:val="placeholder"/>
        </w:category>
        <w:types>
          <w:type w:val="bbPlcHdr"/>
        </w:types>
        <w:behaviors>
          <w:behavior w:val="content"/>
        </w:behaviors>
        <w:description w:val=""/>
        <w:guid w:val="{A6245CF9-14C5-4966-84A4-03C718393FCC}"/>
      </w:docPartPr>
      <w:docPartBody>
        <w:p w14:paraId="207394B3">
          <w:pPr>
            <w:pStyle w:val="5"/>
          </w:pPr>
          <w:r>
            <w:rPr>
              <w:rStyle w:val="4"/>
              <w:rFonts w:hint="eastAsia"/>
            </w:rPr>
            <w:t>单击或点击此处输入文字。</w:t>
          </w:r>
        </w:p>
      </w:docPartBody>
    </w:docPart>
    <w:docPart>
      <w:docPartPr>
        <w:name w:val="11CA018333174658A0EC642D59F8F136"/>
        <w:style w:val=""/>
        <w:category>
          <w:name w:val="常规"/>
          <w:gallery w:val="placeholder"/>
        </w:category>
        <w:types>
          <w:type w:val="bbPlcHdr"/>
        </w:types>
        <w:behaviors>
          <w:behavior w:val="content"/>
        </w:behaviors>
        <w:description w:val=""/>
        <w:guid w:val="{641D6E41-1D50-472E-9AF9-9CA8AC113E73}"/>
      </w:docPartPr>
      <w:docPartBody>
        <w:p w14:paraId="2964C34C">
          <w:pPr>
            <w:pStyle w:val="6"/>
          </w:pPr>
          <w:r>
            <w:rPr>
              <w:rStyle w:val="4"/>
              <w:rFonts w:hint="eastAsia"/>
            </w:rPr>
            <w:t>选择一项。</w:t>
          </w:r>
        </w:p>
      </w:docPartBody>
    </w:docPart>
    <w:docPart>
      <w:docPartPr>
        <w:name w:val="7EFEA893BDCE4C128F6030318C1A03D0"/>
        <w:style w:val=""/>
        <w:category>
          <w:name w:val="常规"/>
          <w:gallery w:val="placeholder"/>
        </w:category>
        <w:types>
          <w:type w:val="bbPlcHdr"/>
        </w:types>
        <w:behaviors>
          <w:behavior w:val="content"/>
        </w:behaviors>
        <w:description w:val=""/>
        <w:guid w:val="{FCBDE0C8-3CA7-43C4-A240-DDF80666C2B0}"/>
      </w:docPartPr>
      <w:docPartBody>
        <w:p w14:paraId="739016AE">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3D5C"/>
    <w:rsid w:val="0002439C"/>
    <w:rsid w:val="00091AEE"/>
    <w:rsid w:val="00174135"/>
    <w:rsid w:val="001E7D44"/>
    <w:rsid w:val="001F226A"/>
    <w:rsid w:val="00303A9B"/>
    <w:rsid w:val="00363A93"/>
    <w:rsid w:val="00380452"/>
    <w:rsid w:val="004E5238"/>
    <w:rsid w:val="004E53B6"/>
    <w:rsid w:val="005751E9"/>
    <w:rsid w:val="005D3D5C"/>
    <w:rsid w:val="005E1C59"/>
    <w:rsid w:val="005E2473"/>
    <w:rsid w:val="006C51B1"/>
    <w:rsid w:val="00737D47"/>
    <w:rsid w:val="007D1901"/>
    <w:rsid w:val="00806F2E"/>
    <w:rsid w:val="008428BF"/>
    <w:rsid w:val="00930592"/>
    <w:rsid w:val="009534CA"/>
    <w:rsid w:val="00997136"/>
    <w:rsid w:val="009B0A5E"/>
    <w:rsid w:val="009C3547"/>
    <w:rsid w:val="009F525F"/>
    <w:rsid w:val="00A92FE8"/>
    <w:rsid w:val="00A97447"/>
    <w:rsid w:val="00AA30F3"/>
    <w:rsid w:val="00B51EF1"/>
    <w:rsid w:val="00BF004C"/>
    <w:rsid w:val="00C624EF"/>
    <w:rsid w:val="00D85D4E"/>
    <w:rsid w:val="00E13042"/>
    <w:rsid w:val="00E66FBF"/>
    <w:rsid w:val="00F47966"/>
    <w:rsid w:val="00F9406A"/>
    <w:rsid w:val="00FF6C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character" w:styleId="4">
    <w:name w:val="Placeholder Text"/>
    <w:basedOn w:val="2"/>
    <w:autoRedefine/>
    <w:semiHidden/>
    <w:qFormat/>
    <w:uiPriority w:val="99"/>
    <w:rPr>
      <w:color w:val="808080"/>
    </w:rPr>
  </w:style>
  <w:style w:type="paragraph" w:customStyle="1" w:styleId="5">
    <w:name w:val="C31066D32DE3434CB0372AD256B5F337"/>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11CA018333174658A0EC642D59F8F136"/>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7EFEA893BDCE4C128F6030318C1A03D0"/>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F5478-7BB5-4462-8845-549CCE47EAC6}">
  <ds:schemaRefs/>
</ds:datastoreItem>
</file>

<file path=docProps/app.xml><?xml version="1.0" encoding="utf-8"?>
<Properties xmlns="http://schemas.openxmlformats.org/officeDocument/2006/extended-properties" xmlns:vt="http://schemas.openxmlformats.org/officeDocument/2006/docPropsVTypes">
  <Template>团体标准.dotx</Template>
  <Company>PCMI</Company>
  <Pages>8</Pages>
  <Words>2832</Words>
  <Characters>3321</Characters>
  <Lines>29</Lines>
  <Paragraphs>8</Paragraphs>
  <TotalTime>257</TotalTime>
  <ScaleCrop>false</ScaleCrop>
  <LinksUpToDate>false</LinksUpToDate>
  <CharactersWithSpaces>3577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2023-10-11T08:31:00Z</dcterms:created>
  <dc:creator>Administrator</dc:creator>
  <dc:description>&lt;config cover="true" show_menu="true" version="1.0.0" doctype="SDKXY"&gt;_x000d_
&lt;/config&gt;</dc:description>
  <cp:lastModifiedBy>Flamboyant</cp:lastModifiedBy>
  <cp:lastPrinted>2022-05-23T07:20:00Z</cp:lastPrinted>
  <dcterms:modified xsi:type="dcterms:W3CDTF">2024-08-26T06:30:17Z</dcterms:modified>
  <dc:title>团体标准</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2052-12.1.0.17827</vt:lpwstr>
  </property>
  <property fmtid="{D5CDD505-2E9C-101B-9397-08002B2CF9AE}" pid="15" name="ICV">
    <vt:lpwstr>927660F0BE5746C6A08ACBBC56A43D1D_13</vt:lpwstr>
  </property>
</Properties>
</file>