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heme="minorEastAsia" w:hAnsiTheme="minorEastAsia" w:eastAsiaTheme="minorEastAsia" w:cstheme="minorEastAsia"/>
          <w:b/>
          <w:bCs/>
          <w:highlight w:val="none"/>
        </w:rPr>
      </w:pPr>
      <w:bookmarkStart w:id="0" w:name="SectionMark2"/>
      <w:r>
        <w:rPr>
          <w:rFonts w:hint="eastAsia" w:asciiTheme="minorEastAsia" w:hAnsiTheme="minorEastAsia" w:eastAsiaTheme="minorEastAsia" w:cstheme="minorEastAsia"/>
          <w:highlight w:val="none"/>
        </w:rPr>
        <w:t>ICS</w:t>
      </w:r>
      <w:r>
        <w:rPr>
          <w:rFonts w:hint="eastAsia" w:asciiTheme="minorEastAsia" w:hAnsiTheme="minorEastAsia" w:eastAsiaTheme="minorEastAsia" w:cstheme="minorEastAsia"/>
          <w:highlight w:val="none"/>
          <w:lang w:val="en-US" w:eastAsia="zh-CN"/>
        </w:rPr>
        <w:t xml:space="preserve"> 19.020</w:t>
      </w:r>
    </w:p>
    <w:p>
      <w:pPr>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CCS</w:t>
      </w:r>
      <w:r>
        <w:rPr>
          <w:rFonts w:hint="eastAsia" w:asciiTheme="minorEastAsia" w:hAnsiTheme="minorEastAsia" w:eastAsiaTheme="minorEastAsia" w:cstheme="minorEastAsia"/>
          <w:highlight w:val="none"/>
          <w:lang w:val="en-US" w:eastAsia="zh-CN"/>
        </w:rPr>
        <w:t xml:space="preserve"> A00</w:t>
      </w:r>
    </w:p>
    <w:p/>
    <w:bookmarkEnd w:id="0"/>
    <w:p>
      <w:pPr>
        <w:pStyle w:val="3"/>
        <w:spacing w:line="240" w:lineRule="auto"/>
        <w:jc w:val="distribute"/>
        <w:rPr>
          <w:rFonts w:hint="default" w:ascii="Helvetica" w:hAnsi="Helvetica" w:eastAsia="Helvetica" w:cs="Helvetica"/>
          <w:sz w:val="10"/>
          <w:szCs w:val="10"/>
          <w:lang w:val="zh-TW" w:eastAsia="zh-TW"/>
        </w:rPr>
      </w:pPr>
      <w:r>
        <w:rPr>
          <w:rFonts w:hint="eastAsia" w:ascii="黑体" w:hAnsi="黑体" w:eastAsia="黑体" w:cs="黑体"/>
          <w:b w:val="0"/>
          <w:bCs w:val="0"/>
          <w:sz w:val="96"/>
          <w:szCs w:val="96"/>
          <w:lang w:val="zh-TW" w:eastAsia="zh-TW"/>
        </w:rPr>
        <w:t>团体标准</w:t>
      </w:r>
    </w:p>
    <w:p>
      <w:pPr>
        <w:pBdr>
          <w:top w:val="none" w:color="auto" w:sz="0" w:space="0"/>
          <w:left w:val="none" w:color="auto" w:sz="0" w:space="0"/>
          <w:bottom w:val="none" w:color="000000" w:sz="0" w:space="0"/>
          <w:right w:val="none" w:color="auto" w:sz="0" w:space="0"/>
          <w:between w:val="none" w:color="auto" w:sz="0" w:space="0"/>
        </w:pBdr>
        <w:jc w:val="right"/>
        <w:rPr>
          <w:sz w:val="28"/>
          <w:szCs w:val="28"/>
          <w:u w:val="none" w:color="auto"/>
        </w:rPr>
      </w:pPr>
      <w:r>
        <w:rPr>
          <w:rFonts w:hint="eastAsia"/>
          <w:sz w:val="28"/>
          <w:szCs w:val="28"/>
          <w:u w:val="none" w:color="auto"/>
        </w:rPr>
        <w:t>P/CIQA-150-2023</w:t>
      </w:r>
    </w:p>
    <w:p>
      <w:r>
        <w:rPr>
          <w:sz w:val="21"/>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102870</wp:posOffset>
                </wp:positionV>
                <wp:extent cx="6080125" cy="8255"/>
                <wp:effectExtent l="0" t="4445" r="3175" b="6350"/>
                <wp:wrapNone/>
                <wp:docPr id="2" name="直接连接符 2"/>
                <wp:cNvGraphicFramePr/>
                <a:graphic xmlns:a="http://schemas.openxmlformats.org/drawingml/2006/main">
                  <a:graphicData uri="http://schemas.microsoft.com/office/word/2010/wordprocessingShape">
                    <wps:wsp>
                      <wps:cNvCnPr/>
                      <wps:spPr>
                        <a:xfrm flipV="1">
                          <a:off x="792480" y="3272790"/>
                          <a:ext cx="6080125" cy="8255"/>
                        </a:xfrm>
                        <a:prstGeom prst="line">
                          <a:avLst/>
                        </a:prstGeom>
                        <a:noFill/>
                        <a:ln w="6350" cap="flat">
                          <a:solidFill>
                            <a:schemeClr val="tx1"/>
                          </a:solidFill>
                          <a:prstDash val="solid"/>
                          <a:round/>
                        </a:ln>
                        <a:effectLst/>
                      </wps:spPr>
                      <wps:style>
                        <a:lnRef idx="0">
                          <a:scrgbClr r="0" g="0" b="0"/>
                        </a:lnRef>
                        <a:fillRef idx="0">
                          <a:scrgbClr r="0" g="0" b="0"/>
                        </a:fillRef>
                        <a:effectRef idx="0">
                          <a:scrgbClr r="0" g="0" b="0"/>
                        </a:effectRef>
                        <a:fontRef idx="none"/>
                      </wps:style>
                      <wps:bodyPr/>
                    </wps:wsp>
                  </a:graphicData>
                </a:graphic>
              </wp:anchor>
            </w:drawing>
          </mc:Choice>
          <mc:Fallback>
            <w:pict>
              <v:line id="_x0000_s1026" o:spid="_x0000_s1026" o:spt="20" style="position:absolute;left:0pt;flip:y;margin-left:6.95pt;margin-top:8.1pt;height:0.65pt;width:478.75pt;z-index:251660288;mso-width-relative:page;mso-height-relative:page;" filled="f" stroked="t" coordsize="21600,21600" o:gfxdata="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m4w0toAAAAIAQAADwAAAAAAAAABACAAAAAiAAAAZHJzL2Rvd25yZXYueG1sUEsBAhQAFAAA&#10;AAgAh07iQFdNUc/tAQAAtAMAAA4AAAAAAAAAAQAgAAAAKQEAAGRycy9lMm9Eb2MueG1sUEsFBgAA&#10;AAAGAAYAWQEAAIgFAAAAAA==&#10;">
                <v:fill on="f" focussize="0,0"/>
                <v:stroke weight="0.5pt" color="#000000 [3213]" joinstyle="round"/>
                <v:imagedata o:title=""/>
                <o:lock v:ext="edit" aspectratio="f"/>
              </v:line>
            </w:pict>
          </mc:Fallback>
        </mc:AlternateContent>
      </w:r>
    </w:p>
    <w:p/>
    <w:p/>
    <w:p/>
    <w:p/>
    <w:p/>
    <w:p/>
    <w:p>
      <w:pPr>
        <w:pStyle w:val="3"/>
        <w:spacing w:line="240" w:lineRule="auto"/>
        <w:jc w:val="center"/>
        <w:rPr>
          <w:b/>
          <w:bCs/>
        </w:rPr>
      </w:pPr>
      <w:r>
        <w:rPr>
          <w:rFonts w:hint="eastAsia" w:ascii="黑体" w:hAnsi="黑体" w:eastAsia="黑体" w:cs="黑体"/>
          <w:b w:val="0"/>
          <w:bCs w:val="0"/>
          <w:sz w:val="52"/>
          <w:szCs w:val="52"/>
          <w:lang w:val="zh-TW" w:eastAsia="zh-TW"/>
        </w:rPr>
        <w:t>互联网测评良好行为通用指南</w:t>
      </w:r>
    </w:p>
    <w:p>
      <w:pPr>
        <w:jc w:val="center"/>
        <w:rPr>
          <w:b/>
          <w:bCs/>
          <w:sz w:val="24"/>
          <w:szCs w:val="24"/>
        </w:rPr>
      </w:pPr>
      <w:r>
        <w:rPr>
          <w:b w:val="0"/>
          <w:bCs w:val="0"/>
          <w:sz w:val="28"/>
          <w:szCs w:val="28"/>
        </w:rPr>
        <w:t>Guidelines of Good Practice for the Online Testing and Evaluation</w:t>
      </w:r>
    </w:p>
    <w:p>
      <w:pPr>
        <w:jc w:val="center"/>
        <w:rPr>
          <w:b/>
          <w:bCs/>
        </w:rPr>
      </w:pPr>
    </w:p>
    <w:p>
      <w:pPr>
        <w:jc w:val="center"/>
      </w:pPr>
    </w:p>
    <w:p>
      <w:pPr>
        <w:jc w:val="center"/>
        <w:rPr>
          <w:rFonts w:hint="eastAsia" w:ascii="黑体" w:hAnsi="黑体" w:eastAsia="黑体" w:cs="黑体"/>
          <w:sz w:val="32"/>
          <w:szCs w:val="32"/>
        </w:rPr>
      </w:pP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征求意见稿）</w:t>
      </w:r>
    </w:p>
    <w:p>
      <w:pPr>
        <w:jc w:val="center"/>
      </w:pPr>
    </w:p>
    <w:p>
      <w:pPr>
        <w:jc w:val="center"/>
      </w:pPr>
    </w:p>
    <w:p>
      <w:pPr>
        <w:jc w:val="center"/>
      </w:pPr>
    </w:p>
    <w:p>
      <w:pPr>
        <w:jc w:val="center"/>
      </w:pPr>
    </w:p>
    <w:p>
      <w:pPr>
        <w:jc w:val="center"/>
      </w:pPr>
    </w:p>
    <w:p>
      <w:pPr>
        <w:jc w:val="center"/>
      </w:pPr>
    </w:p>
    <w:p>
      <w:pPr>
        <w:jc w:val="center"/>
      </w:pPr>
    </w:p>
    <w:p>
      <w:pPr>
        <w:jc w:val="center"/>
      </w:pPr>
    </w:p>
    <w:p>
      <w:pPr>
        <w:pStyle w:val="2"/>
      </w:pPr>
    </w:p>
    <w:p>
      <w:pPr>
        <w:jc w:val="center"/>
      </w:pPr>
    </w:p>
    <w:p>
      <w:pPr>
        <w:jc w:val="center"/>
      </w:pPr>
    </w:p>
    <w:p>
      <w:pPr>
        <w:pStyle w:val="2"/>
      </w:pPr>
    </w:p>
    <w:p>
      <w:pPr>
        <w:pStyle w:val="2"/>
      </w:pPr>
    </w:p>
    <w:p>
      <w:pPr>
        <w:jc w:val="center"/>
      </w:pPr>
    </w:p>
    <w:p>
      <w:pPr>
        <w:jc w:val="center"/>
      </w:pPr>
    </w:p>
    <w:p>
      <w:pPr>
        <w:jc w:val="center"/>
      </w:pPr>
    </w:p>
    <w:p>
      <w:pPr>
        <w:jc w:val="center"/>
      </w:pPr>
    </w:p>
    <w:p>
      <w:pPr>
        <w:jc w:val="center"/>
      </w:pPr>
    </w:p>
    <w:p>
      <w:pPr>
        <w:jc w:val="center"/>
      </w:pPr>
    </w:p>
    <w:p>
      <w:pPr>
        <w:jc w:val="center"/>
      </w:pPr>
    </w:p>
    <w:p>
      <w:pPr>
        <w:jc w:val="center"/>
        <w:rPr>
          <w:sz w:val="28"/>
          <w:szCs w:val="28"/>
          <w:u w:val="none" w:color="auto"/>
        </w:rPr>
      </w:pPr>
      <w:r>
        <w:rPr>
          <w:rFonts w:hint="eastAsia" w:ascii="黑体" w:hAnsi="黑体" w:eastAsia="黑体" w:cs="黑体"/>
          <w:sz w:val="28"/>
          <w:szCs w:val="28"/>
          <w:u w:val="none" w:color="auto"/>
        </w:rPr>
        <w:t>202</w:t>
      </w:r>
      <w:r>
        <w:rPr>
          <w:rFonts w:hint="eastAsia" w:ascii="黑体" w:hAnsi="黑体" w:eastAsia="黑体" w:cs="黑体"/>
          <w:sz w:val="28"/>
          <w:szCs w:val="28"/>
          <w:u w:val="none" w:color="auto"/>
          <w:lang w:val="en-US" w:eastAsia="zh-CN"/>
        </w:rPr>
        <w:t>4</w:t>
      </w:r>
      <w:r>
        <w:rPr>
          <w:rFonts w:hint="eastAsia" w:ascii="黑体" w:hAnsi="黑体" w:eastAsia="黑体" w:cs="黑体"/>
          <w:sz w:val="28"/>
          <w:szCs w:val="28"/>
          <w:u w:val="none" w:color="auto"/>
        </w:rPr>
        <w:t>-ⅩⅩ-ⅩⅩ</w:t>
      </w:r>
      <w:r>
        <w:rPr>
          <w:rFonts w:hint="eastAsia" w:ascii="黑体" w:hAnsi="黑体" w:eastAsia="黑体" w:cs="黑体"/>
          <w:sz w:val="28"/>
          <w:szCs w:val="28"/>
          <w:u w:val="none" w:color="auto"/>
          <w:lang w:val="zh-TW" w:eastAsia="zh-TW"/>
        </w:rPr>
        <w:t>发布</w:t>
      </w:r>
      <w:r>
        <w:rPr>
          <w:sz w:val="28"/>
          <w:szCs w:val="28"/>
          <w:u w:val="none" w:color="auto"/>
        </w:rPr>
        <w:t xml:space="preserve">            </w:t>
      </w:r>
      <w:r>
        <w:rPr>
          <w:rFonts w:hint="eastAsia" w:eastAsia="宋体"/>
          <w:sz w:val="28"/>
          <w:szCs w:val="28"/>
          <w:u w:val="none" w:color="auto"/>
          <w:lang w:val="en-US" w:eastAsia="zh-CN"/>
        </w:rPr>
        <w:t xml:space="preserve">                     </w:t>
      </w:r>
      <w:r>
        <w:rPr>
          <w:sz w:val="28"/>
          <w:szCs w:val="28"/>
          <w:u w:val="none" w:color="auto"/>
        </w:rPr>
        <w:t xml:space="preserve">             </w:t>
      </w:r>
      <w:r>
        <w:rPr>
          <w:rFonts w:hint="eastAsia" w:ascii="黑体" w:hAnsi="黑体" w:eastAsia="黑体" w:cs="黑体"/>
          <w:sz w:val="28"/>
          <w:szCs w:val="28"/>
          <w:u w:val="none" w:color="auto"/>
        </w:rPr>
        <w:t xml:space="preserve"> 202</w:t>
      </w:r>
      <w:r>
        <w:rPr>
          <w:rFonts w:hint="eastAsia" w:ascii="黑体" w:hAnsi="黑体" w:eastAsia="黑体" w:cs="黑体"/>
          <w:sz w:val="28"/>
          <w:szCs w:val="28"/>
          <w:u w:val="none" w:color="auto"/>
          <w:lang w:val="en-US" w:eastAsia="zh-CN"/>
        </w:rPr>
        <w:t>4</w:t>
      </w:r>
      <w:r>
        <w:rPr>
          <w:rFonts w:hint="eastAsia" w:ascii="黑体" w:hAnsi="黑体" w:eastAsia="黑体" w:cs="黑体"/>
          <w:sz w:val="28"/>
          <w:szCs w:val="28"/>
          <w:u w:val="none" w:color="auto"/>
        </w:rPr>
        <w:t>-ⅩⅩ-ⅩⅩ</w:t>
      </w:r>
      <w:r>
        <w:rPr>
          <w:rFonts w:hint="eastAsia" w:ascii="黑体" w:hAnsi="黑体" w:eastAsia="黑体" w:cs="黑体"/>
          <w:sz w:val="28"/>
          <w:szCs w:val="28"/>
          <w:u w:val="none" w:color="auto"/>
          <w:lang w:val="zh-TW" w:eastAsia="zh-TW"/>
        </w:rPr>
        <w:t>实施</w:t>
      </w:r>
    </w:p>
    <w:p>
      <w:pPr>
        <w:jc w:val="center"/>
        <w:rPr>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144145</wp:posOffset>
                </wp:positionH>
                <wp:positionV relativeFrom="paragraph">
                  <wp:posOffset>56515</wp:posOffset>
                </wp:positionV>
                <wp:extent cx="5683250" cy="0"/>
                <wp:effectExtent l="0" t="4445" r="0" b="5080"/>
                <wp:wrapNone/>
                <wp:docPr id="1" name="直接连接符 1"/>
                <wp:cNvGraphicFramePr/>
                <a:graphic xmlns:a="http://schemas.openxmlformats.org/drawingml/2006/main">
                  <a:graphicData uri="http://schemas.microsoft.com/office/word/2010/wordprocessingShape">
                    <wps:wsp>
                      <wps:cNvCnPr/>
                      <wps:spPr>
                        <a:xfrm>
                          <a:off x="1177925" y="9078595"/>
                          <a:ext cx="5683250" cy="0"/>
                        </a:xfrm>
                        <a:prstGeom prst="line">
                          <a:avLst/>
                        </a:prstGeom>
                        <a:noFill/>
                        <a:ln w="6350" cap="flat">
                          <a:solidFill>
                            <a:schemeClr val="tx1"/>
                          </a:solidFill>
                          <a:prstDash val="solid"/>
                          <a:round/>
                        </a:ln>
                        <a:effectLst/>
                      </wps:spPr>
                      <wps:style>
                        <a:lnRef idx="0">
                          <a:scrgbClr r="0" g="0" b="0"/>
                        </a:lnRef>
                        <a:fillRef idx="0">
                          <a:scrgbClr r="0" g="0" b="0"/>
                        </a:fillRef>
                        <a:effectRef idx="0">
                          <a:scrgbClr r="0" g="0" b="0"/>
                        </a:effectRef>
                        <a:fontRef idx="none"/>
                      </wps:style>
                      <wps:bodyPr/>
                    </wps:wsp>
                  </a:graphicData>
                </a:graphic>
              </wp:anchor>
            </w:drawing>
          </mc:Choice>
          <mc:Fallback>
            <w:pict>
              <v:line id="_x0000_s1026" o:spid="_x0000_s1026" o:spt="20" style="position:absolute;left:0pt;margin-left:11.35pt;margin-top:4.45pt;height:0pt;width:447.5pt;z-index:251659264;mso-width-relative:page;mso-height-relative:page;" filled="f" stroked="t" coordsize="21600,21600" o:gfxdata="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7XVV9IAAAAGAQAADwAA&#10;AAAAAAABACAAAAAiAAAAZHJzL2Rvd25yZXYueG1sUEsBAhQAFAAAAAgAh07iQK9lkBPjAQAAqAMA&#10;AA4AAAAAAAAAAQAgAAAAIQEAAGRycy9lMm9Eb2MueG1sUEsFBgAAAAAGAAYAWQEAAHYFAAAAAA==&#10;">
                <v:fill on="f" focussize="0,0"/>
                <v:stroke weight="0.5pt" color="#000000 [3213]" joinstyle="round"/>
                <v:imagedata o:title=""/>
                <o:lock v:ext="edit" aspectratio="f"/>
              </v:line>
            </w:pict>
          </mc:Fallback>
        </mc:AlternateContent>
      </w:r>
    </w:p>
    <w:p>
      <w:pPr>
        <w:jc w:val="center"/>
        <w:rPr>
          <w:rFonts w:hint="eastAsia" w:asciiTheme="majorEastAsia" w:hAnsiTheme="majorEastAsia" w:eastAsiaTheme="majorEastAsia" w:cstheme="majorEastAsia"/>
          <w:sz w:val="28"/>
          <w:szCs w:val="28"/>
          <w:lang w:val="zh-TW" w:eastAsia="zh-TW"/>
        </w:rPr>
      </w:pPr>
    </w:p>
    <w:p>
      <w:pPr>
        <w:jc w:val="center"/>
        <w:rPr>
          <w:sz w:val="32"/>
          <w:szCs w:val="32"/>
        </w:rPr>
      </w:pPr>
      <w:r>
        <w:rPr>
          <w:rFonts w:hint="eastAsia" w:asciiTheme="majorEastAsia" w:hAnsiTheme="majorEastAsia" w:eastAsiaTheme="majorEastAsia" w:cstheme="majorEastAsia"/>
          <w:sz w:val="28"/>
          <w:szCs w:val="28"/>
          <w:lang w:val="zh-TW" w:eastAsia="zh-TW"/>
        </w:rPr>
        <w:t>中国出入境检验检疫协会</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lang w:val="zh-TW" w:eastAsia="zh-TW"/>
        </w:rPr>
        <w:t>发布</w:t>
      </w:r>
    </w:p>
    <w:p>
      <w:pPr>
        <w:jc w:val="center"/>
        <w:rPr>
          <w:sz w:val="32"/>
          <w:szCs w:val="32"/>
        </w:rPr>
      </w:pPr>
    </w:p>
    <w:p>
      <w:pPr>
        <w:pStyle w:val="2"/>
        <w:rPr>
          <w:sz w:val="32"/>
          <w:szCs w:val="32"/>
        </w:rPr>
      </w:pPr>
    </w:p>
    <w:p>
      <w:pPr>
        <w:pStyle w:val="2"/>
        <w:rPr>
          <w:sz w:val="32"/>
          <w:szCs w:val="32"/>
        </w:rPr>
      </w:pPr>
    </w:p>
    <w:p>
      <w:pPr>
        <w:pStyle w:val="2"/>
      </w:pPr>
    </w:p>
    <w:p>
      <w:pPr>
        <w:pStyle w:val="16"/>
        <w:numPr>
          <w:ilvl w:val="0"/>
          <w:numId w:val="0"/>
        </w:numPr>
        <w:spacing w:after="360"/>
        <w:ind w:leftChars="0"/>
        <w:jc w:val="center"/>
        <w:rPr>
          <w:lang w:val="zh-TW" w:eastAsia="zh-TW"/>
        </w:rPr>
      </w:pPr>
      <w:bookmarkStart w:id="1" w:name="BookMark2"/>
      <w:r>
        <w:rPr>
          <w:spacing w:val="-1"/>
          <w:lang w:val="zh-TW" w:eastAsia="zh-TW"/>
        </w:rPr>
        <w:t>前</w:t>
      </w:r>
      <w:r>
        <w:rPr>
          <w:rFonts w:hint="eastAsia"/>
          <w:spacing w:val="-1"/>
          <w:lang w:val="en-US" w:eastAsia="zh-CN"/>
        </w:rPr>
        <w:t xml:space="preserve">    </w:t>
      </w:r>
      <w:r>
        <w:rPr>
          <w:lang w:val="zh-TW" w:eastAsia="zh-TW"/>
        </w:rPr>
        <w:t>言</w:t>
      </w:r>
    </w:p>
    <w:p>
      <w:pPr>
        <w:rPr>
          <w:lang w:val="zh-TW" w:eastAsia="zh-TW"/>
        </w:rPr>
      </w:pPr>
    </w:p>
    <w:p>
      <w:pPr>
        <w:pStyle w:val="2"/>
        <w:rPr>
          <w:lang w:val="zh-TW" w:eastAsia="zh-TW"/>
        </w:rPr>
      </w:pP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lang w:val="zh-TW" w:eastAsia="zh-TW"/>
        </w:rPr>
        <w:t>本文件按照</w:t>
      </w:r>
      <w:r>
        <w:rPr>
          <w:rFonts w:ascii="宋体" w:hAnsi="宋体"/>
        </w:rPr>
        <w:t>GB/T 1.1</w:t>
      </w:r>
      <w:r>
        <w:rPr>
          <w:rFonts w:hint="default" w:ascii="宋体" w:hAnsi="宋体"/>
        </w:rPr>
        <w:t>—</w:t>
      </w:r>
      <w:r>
        <w:rPr>
          <w:rFonts w:ascii="宋体" w:hAnsi="宋体"/>
        </w:rPr>
        <w:t>2020</w:t>
      </w:r>
      <w:r>
        <w:rPr>
          <w:lang w:val="zh-TW" w:eastAsia="zh-TW"/>
        </w:rPr>
        <w:t>《标准化工作导则  第</w:t>
      </w:r>
      <w:r>
        <w:rPr>
          <w:rFonts w:ascii="宋体" w:hAnsi="宋体"/>
        </w:rPr>
        <w:t>1</w:t>
      </w:r>
      <w:r>
        <w:rPr>
          <w:lang w:val="zh-TW" w:eastAsia="zh-TW"/>
        </w:rPr>
        <w:t>部分：标准化文件的结构和起草规则》的规定起草。</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本文件的某些内容可能涉及专利</w:t>
      </w:r>
      <w:r>
        <w:rPr>
          <w:rFonts w:hint="eastAsia"/>
          <w:lang w:val="zh-TW" w:eastAsia="zh-CN"/>
        </w:rPr>
        <w:t>，</w:t>
      </w:r>
      <w:r>
        <w:rPr>
          <w:lang w:val="zh-TW" w:eastAsia="zh-TW"/>
        </w:rPr>
        <w:t>本文件的发布机构不承担识别专利的责任。</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本文件由国家市场监督管理总局发展研究中心提出。</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本文件由出入境检验检疫协会归口。</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color w:val="auto"/>
          <w:highlight w:val="none"/>
          <w:lang w:val="en-US" w:eastAsia="zh-CN"/>
        </w:rPr>
      </w:pPr>
      <w:r>
        <w:rPr>
          <w:highlight w:val="none"/>
          <w:lang w:val="zh-TW" w:eastAsia="zh-TW"/>
        </w:rPr>
        <w:t>本文件起草单位：</w:t>
      </w:r>
      <w:r>
        <w:rPr>
          <w:rFonts w:hint="eastAsia"/>
          <w:highlight w:val="none"/>
          <w:lang w:val="zh-TW" w:eastAsia="zh-TW"/>
        </w:rPr>
        <w:t>国家市场监督管理总局发展研究中心、北京值得买科技股份有限公司、柏特薇（深圳）化妆品有限公司</w:t>
      </w:r>
      <w:r>
        <w:rPr>
          <w:rFonts w:hint="eastAsia"/>
          <w:color w:val="auto"/>
          <w:highlight w:val="none"/>
          <w:lang w:val="zh-TW" w:eastAsia="zh-TW"/>
        </w:rPr>
        <w:t>、</w:t>
      </w:r>
      <w:r>
        <w:rPr>
          <w:rStyle w:val="9"/>
          <w:rFonts w:hint="eastAsia" w:ascii="Arial" w:hAnsi="Arial" w:eastAsia="宋体" w:cs="Arial"/>
          <w:i w:val="0"/>
          <w:iCs w:val="0"/>
          <w:caps w:val="0"/>
          <w:color w:val="auto"/>
          <w:spacing w:val="0"/>
          <w:sz w:val="19"/>
          <w:szCs w:val="19"/>
          <w:shd w:val="clear" w:fill="FFFFFF"/>
        </w:rPr>
        <w:t>方圆标志认证集团浙江有限公司</w:t>
      </w:r>
      <w:r>
        <w:rPr>
          <w:rFonts w:hint="eastAsia"/>
          <w:color w:val="auto"/>
          <w:highlight w:val="none"/>
          <w:lang w:val="en-US" w:eastAsia="zh-CN"/>
        </w:rPr>
        <w:t>、</w:t>
      </w:r>
      <w:r>
        <w:rPr>
          <w:rFonts w:hint="eastAsia"/>
          <w:color w:val="auto"/>
          <w:highlight w:val="none"/>
          <w:lang w:val="zh-TW" w:eastAsia="zh-TW"/>
        </w:rPr>
        <w:t>凤凰网凰家评测、杭州耕香生物科技有限公司、</w:t>
      </w:r>
      <w:r>
        <w:rPr>
          <w:rFonts w:hint="eastAsia"/>
          <w:color w:val="auto"/>
          <w:highlight w:val="none"/>
          <w:lang w:val="en-US" w:eastAsia="zh-CN"/>
        </w:rPr>
        <w:t>先看（深圳）科技有限公司、</w:t>
      </w:r>
      <w:r>
        <w:rPr>
          <w:rFonts w:hint="eastAsia"/>
          <w:color w:val="auto"/>
          <w:highlight w:val="none"/>
          <w:lang w:val="zh-TW" w:eastAsia="zh-TW"/>
        </w:rPr>
        <w:t>小红花评测。</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highlight w:val="none"/>
          <w:lang w:val="en-US" w:eastAsia="zh-CN"/>
        </w:rPr>
      </w:pPr>
      <w:r>
        <w:rPr>
          <w:color w:val="auto"/>
          <w:highlight w:val="none"/>
          <w:lang w:val="zh-TW" w:eastAsia="zh-TW"/>
        </w:rPr>
        <w:t>本文件主要起草人：</w:t>
      </w:r>
      <w:r>
        <w:rPr>
          <w:rFonts w:hint="eastAsia"/>
          <w:color w:val="auto"/>
          <w:highlight w:val="none"/>
          <w:lang w:val="en-US" w:eastAsia="zh-CN"/>
        </w:rPr>
        <w:t>陈云鹏、安桐瑶、席倩倩、王莹、庄宝霞、张涛、刘鹏、李庭</w:t>
      </w:r>
      <w:r>
        <w:rPr>
          <w:rFonts w:hint="eastAsia"/>
          <w:highlight w:val="none"/>
          <w:lang w:val="en-US" w:eastAsia="zh-CN"/>
        </w:rPr>
        <w:t>萱、余翔、王亮、陶晨、潘小勇。</w:t>
      </w:r>
    </w:p>
    <w:p>
      <w:pPr>
        <w:keepNext w:val="0"/>
        <w:keepLines w:val="0"/>
        <w:pageBreakBefore w:val="0"/>
        <w:widowControl/>
        <w:kinsoku/>
        <w:wordWrap/>
        <w:overflowPunct/>
        <w:topLinePunct w:val="0"/>
        <w:autoSpaceDE/>
        <w:autoSpaceDN/>
        <w:bidi w:val="0"/>
        <w:adjustRightInd/>
        <w:snapToGrid/>
        <w:spacing w:line="440" w:lineRule="exact"/>
        <w:ind w:firstLine="420" w:firstLineChars="200"/>
        <w:jc w:val="left"/>
        <w:textAlignment w:val="auto"/>
      </w:pPr>
      <w:r>
        <w:rPr>
          <w:rFonts w:hint="eastAsia" w:ascii="宋体" w:hAnsi="宋体" w:eastAsia="宋体" w:cs="宋体"/>
          <w:kern w:val="2"/>
          <w:sz w:val="21"/>
          <w:szCs w:val="21"/>
        </w:rPr>
        <w:t>本文件为首次发布。</w:t>
      </w:r>
      <w:r>
        <w:rPr>
          <w:rFonts w:ascii="Arial Unicode MS" w:hAnsi="Arial Unicode MS"/>
        </w:rPr>
        <w:br w:type="page"/>
      </w:r>
    </w:p>
    <w:p>
      <w:pPr>
        <w:pStyle w:val="19"/>
        <w:keepNext w:val="0"/>
        <w:keepLines w:val="0"/>
        <w:pageBreakBefore w:val="0"/>
        <w:widowControl w:val="0"/>
        <w:kinsoku/>
        <w:wordWrap/>
        <w:overflowPunct/>
        <w:topLinePunct w:val="0"/>
        <w:autoSpaceDE/>
        <w:autoSpaceDN/>
        <w:bidi w:val="0"/>
        <w:adjustRightInd/>
        <w:snapToGrid/>
        <w:spacing w:line="420" w:lineRule="atLeast"/>
        <w:textAlignment w:val="auto"/>
        <w:rPr>
          <w:rFonts w:hint="default" w:ascii="黑体" w:hAnsi="黑体" w:eastAsia="黑体" w:cs="黑体"/>
        </w:rPr>
      </w:pPr>
      <w:r>
        <w:rPr>
          <w:rFonts w:ascii="黑体" w:hAnsi="黑体" w:eastAsia="黑体" w:cs="黑体"/>
          <w:lang w:val="zh-TW" w:eastAsia="zh-TW"/>
        </w:rPr>
        <w:t xml:space="preserve">引 </w:t>
      </w:r>
      <w:r>
        <w:rPr>
          <w:rFonts w:ascii="黑体" w:hAnsi="黑体" w:eastAsia="黑体" w:cs="黑体"/>
        </w:rPr>
        <w:t xml:space="preserve">   </w:t>
      </w:r>
      <w:r>
        <w:rPr>
          <w:rFonts w:ascii="黑体" w:hAnsi="黑体" w:eastAsia="黑体" w:cs="黑体"/>
          <w:lang w:val="zh-TW" w:eastAsia="zh-TW"/>
        </w:rPr>
        <w:t>言</w:t>
      </w:r>
      <w:r>
        <w:rPr>
          <w:rFonts w:ascii="黑体" w:hAnsi="黑体" w:eastAsia="黑体" w:cs="黑体"/>
        </w:rPr>
        <w:br w:type="textWrapping"/>
      </w:r>
    </w:p>
    <w:p>
      <w:pPr>
        <w:pStyle w:val="20"/>
        <w:keepNext w:val="0"/>
        <w:keepLines w:val="0"/>
        <w:pageBreakBefore w:val="0"/>
        <w:widowControl w:val="0"/>
        <w:kinsoku/>
        <w:wordWrap/>
        <w:overflowPunct/>
        <w:topLinePunct w:val="0"/>
        <w:autoSpaceDE/>
        <w:autoSpaceDN/>
        <w:bidi w:val="0"/>
        <w:adjustRightInd/>
        <w:snapToGrid/>
        <w:spacing w:line="420" w:lineRule="atLeast"/>
        <w:ind w:firstLine="420"/>
        <w:textAlignment w:val="auto"/>
        <w:rPr>
          <w:rFonts w:hint="default"/>
        </w:rPr>
      </w:pPr>
      <w:r>
        <w:rPr>
          <w:lang w:val="zh-TW" w:eastAsia="zh-TW"/>
        </w:rPr>
        <w:t>随着互联网应用的普及，电子商务和网络直播活动持续发展，以测评博主为代表的互联网测评行业应运而生。我国互联网测评行业快速发展，已呈现出</w:t>
      </w:r>
      <w:r>
        <w:rPr>
          <w:rFonts w:hint="default" w:ascii="宋体" w:hAnsi="宋体"/>
        </w:rPr>
        <w:t>“</w:t>
      </w:r>
      <w:r>
        <w:rPr>
          <w:lang w:val="zh-TW" w:eastAsia="zh-TW"/>
        </w:rPr>
        <w:t>万物皆可测评</w:t>
      </w:r>
      <w:r>
        <w:rPr>
          <w:rFonts w:hint="default" w:ascii="宋体" w:hAnsi="宋体"/>
        </w:rPr>
        <w:t>”</w:t>
      </w:r>
      <w:r>
        <w:rPr>
          <w:lang w:val="zh-TW" w:eastAsia="zh-TW"/>
        </w:rPr>
        <w:t>的行业特征。中国消费者协会发布的《</w:t>
      </w:r>
      <w:r>
        <w:rPr>
          <w:rFonts w:hint="default" w:ascii="宋体" w:hAnsi="宋体"/>
        </w:rPr>
        <w:t>“第三方</w:t>
      </w:r>
      <w:r>
        <w:rPr>
          <w:lang w:val="zh-TW" w:eastAsia="zh-TW"/>
        </w:rPr>
        <w:t>测评</w:t>
      </w:r>
      <w:r>
        <w:rPr>
          <w:rFonts w:hint="default" w:ascii="宋体" w:hAnsi="宋体"/>
        </w:rPr>
        <w:t>”</w:t>
      </w:r>
      <w:r>
        <w:rPr>
          <w:lang w:val="zh-TW" w:eastAsia="zh-TW"/>
        </w:rPr>
        <w:t>对消费者权益影响调研报告》指出，近八成的消费者会在购物前观看</w:t>
      </w:r>
      <w:r>
        <w:rPr>
          <w:rFonts w:hint="default" w:ascii="宋体" w:hAnsi="宋体"/>
        </w:rPr>
        <w:t>“</w:t>
      </w:r>
      <w:r>
        <w:rPr>
          <w:lang w:val="zh-TW" w:eastAsia="zh-TW"/>
        </w:rPr>
        <w:t>测评</w:t>
      </w:r>
      <w:r>
        <w:rPr>
          <w:rFonts w:hint="default" w:ascii="宋体" w:hAnsi="宋体"/>
        </w:rPr>
        <w:t>”</w:t>
      </w:r>
      <w:r>
        <w:rPr>
          <w:lang w:val="zh-TW" w:eastAsia="zh-TW"/>
        </w:rPr>
        <w:t>作品。当前，我国互联网测评行业存在着测评标准不统一、测评表述不规范、测评与广告营销边界不清晰等突出问题，引发消费者担忧及社会各界关注，已成为制约测评行业高质量发展的主要问题。</w:t>
      </w:r>
    </w:p>
    <w:p>
      <w:pPr>
        <w:pStyle w:val="20"/>
        <w:keepNext w:val="0"/>
        <w:keepLines w:val="0"/>
        <w:pageBreakBefore w:val="0"/>
        <w:widowControl w:val="0"/>
        <w:kinsoku/>
        <w:wordWrap/>
        <w:overflowPunct/>
        <w:topLinePunct w:val="0"/>
        <w:autoSpaceDE/>
        <w:autoSpaceDN/>
        <w:bidi w:val="0"/>
        <w:adjustRightInd/>
        <w:snapToGrid/>
        <w:spacing w:line="420" w:lineRule="atLeast"/>
        <w:ind w:firstLine="420"/>
        <w:textAlignment w:val="auto"/>
        <w:rPr>
          <w:rFonts w:hint="default" w:eastAsia="宋体"/>
          <w:lang w:val="en-US" w:eastAsia="zh-CN"/>
        </w:rPr>
      </w:pPr>
      <w:r>
        <w:rPr>
          <w:lang w:val="zh-TW" w:eastAsia="zh-TW"/>
        </w:rPr>
        <w:t>为加强互联网平台、测评</w:t>
      </w:r>
      <w:r>
        <w:rPr>
          <w:rFonts w:hint="eastAsia"/>
          <w:lang w:val="en-US" w:eastAsia="zh-CN"/>
        </w:rPr>
        <w:t>主体</w:t>
      </w:r>
      <w:r>
        <w:rPr>
          <w:lang w:val="zh-TW" w:eastAsia="zh-TW"/>
        </w:rPr>
        <w:t>和消费者等各利益相关方良好行为指引，对互联网测评行业中的平台合规管理、测评内容嵌入广告标识、委托测评声明和测评方法标准声明等内容进行统一规范，制定本文件。</w:t>
      </w:r>
      <w:r>
        <w:rPr>
          <w:rFonts w:hint="eastAsia"/>
          <w:lang w:val="en-US" w:eastAsia="zh-CN"/>
        </w:rPr>
        <w:t>第一章介绍了本文件</w:t>
      </w:r>
      <w:r>
        <w:rPr>
          <w:lang w:val="zh-TW" w:eastAsia="zh-TW"/>
        </w:rPr>
        <w:t>适用</w:t>
      </w:r>
      <w:r>
        <w:rPr>
          <w:rFonts w:hint="eastAsia"/>
          <w:lang w:val="en-US" w:eastAsia="zh-CN"/>
        </w:rPr>
        <w:t>的</w:t>
      </w:r>
      <w:r>
        <w:rPr>
          <w:lang w:val="zh-TW" w:eastAsia="zh-TW"/>
        </w:rPr>
        <w:t>利益相关方</w:t>
      </w:r>
      <w:r>
        <w:rPr>
          <w:rFonts w:hint="eastAsia"/>
          <w:lang w:val="zh-TW" w:eastAsia="zh-CN"/>
        </w:rPr>
        <w:t>，</w:t>
      </w:r>
      <w:r>
        <w:rPr>
          <w:rFonts w:hint="eastAsia"/>
          <w:lang w:val="en-US" w:eastAsia="zh-CN"/>
        </w:rPr>
        <w:t>第二章列明了本文件引用的规范性文件，第三章对测评、互联网测评、测评对象等术语进行定义，第四章明确了</w:t>
      </w:r>
      <w:r>
        <w:rPr>
          <w:lang w:val="zh-TW" w:eastAsia="zh-TW"/>
        </w:rPr>
        <w:t>互联网测评相关利益方在测评行为活动中</w:t>
      </w:r>
      <w:r>
        <w:rPr>
          <w:rFonts w:hint="eastAsia"/>
          <w:lang w:val="en-US" w:eastAsia="zh-CN"/>
        </w:rPr>
        <w:t>应当遵循的原则，第五章从测评主体、平台运营者、消费者三个层面提出了参与</w:t>
      </w:r>
      <w:r>
        <w:rPr>
          <w:lang w:val="zh-TW" w:eastAsia="zh-TW"/>
        </w:rPr>
        <w:t>测评行为活动</w:t>
      </w:r>
      <w:r>
        <w:rPr>
          <w:rFonts w:hint="eastAsia"/>
          <w:lang w:val="en-US" w:eastAsia="zh-CN"/>
        </w:rPr>
        <w:t>的具体要求。</w:t>
      </w:r>
    </w:p>
    <w:p>
      <w:pPr>
        <w:pStyle w:val="20"/>
        <w:keepNext w:val="0"/>
        <w:keepLines w:val="0"/>
        <w:pageBreakBefore w:val="0"/>
        <w:widowControl w:val="0"/>
        <w:kinsoku/>
        <w:wordWrap/>
        <w:overflowPunct/>
        <w:topLinePunct w:val="0"/>
        <w:autoSpaceDE/>
        <w:autoSpaceDN/>
        <w:bidi w:val="0"/>
        <w:adjustRightInd/>
        <w:snapToGrid/>
        <w:spacing w:line="420" w:lineRule="atLeast"/>
        <w:ind w:firstLine="420"/>
        <w:textAlignment w:val="auto"/>
        <w:rPr>
          <w:rFonts w:hint="default" w:eastAsia="宋体"/>
          <w:lang w:val="en-US" w:eastAsia="zh-CN"/>
        </w:rPr>
      </w:pPr>
    </w:p>
    <w:p>
      <w:pPr>
        <w:pStyle w:val="17"/>
        <w:ind w:firstLine="420"/>
        <w:rPr>
          <w:rFonts w:hint="default"/>
        </w:rPr>
      </w:pPr>
    </w:p>
    <w:p>
      <w:pPr>
        <w:pStyle w:val="17"/>
        <w:ind w:firstLine="420"/>
        <w:rPr>
          <w:rFonts w:hint="default"/>
        </w:rPr>
        <w:sectPr>
          <w:headerReference r:id="rId4" w:type="first"/>
          <w:footerReference r:id="rId6" w:type="first"/>
          <w:headerReference r:id="rId3" w:type="default"/>
          <w:footerReference r:id="rId5" w:type="default"/>
          <w:pgSz w:w="11900" w:h="16840"/>
          <w:pgMar w:top="1174" w:right="1134" w:bottom="1134" w:left="1134" w:header="1418" w:footer="1134" w:gutter="0"/>
          <w:cols w:space="720" w:num="1"/>
          <w:titlePg/>
        </w:sectPr>
      </w:pPr>
    </w:p>
    <w:bookmarkEnd w:id="1"/>
    <w:p>
      <w:pPr>
        <w:spacing w:line="20" w:lineRule="exact"/>
        <w:jc w:val="center"/>
        <w:rPr>
          <w:rFonts w:ascii="黑体" w:hAnsi="黑体" w:eastAsia="黑体" w:cs="黑体"/>
          <w:sz w:val="32"/>
          <w:szCs w:val="32"/>
        </w:rPr>
      </w:pPr>
    </w:p>
    <w:p>
      <w:pPr>
        <w:spacing w:line="20" w:lineRule="exact"/>
        <w:jc w:val="center"/>
        <w:rPr>
          <w:rFonts w:ascii="黑体" w:hAnsi="黑体" w:eastAsia="黑体" w:cs="黑体"/>
          <w:sz w:val="32"/>
          <w:szCs w:val="32"/>
        </w:rPr>
      </w:pPr>
    </w:p>
    <w:p>
      <w:pPr>
        <w:pStyle w:val="21"/>
        <w:spacing w:before="3" w:after="686"/>
        <w:outlineLvl w:val="0"/>
        <w:rPr>
          <w:lang w:val="zh-TW" w:eastAsia="zh-TW"/>
        </w:rPr>
      </w:pPr>
      <w:bookmarkStart w:id="2" w:name="NEW_STAND_NAME"/>
      <w:r>
        <w:rPr>
          <w:lang w:val="zh-TW" w:eastAsia="zh-TW"/>
        </w:rPr>
        <w:t>互联网测评良好行为通用指南</w:t>
      </w:r>
    </w:p>
    <w:bookmarkEnd w:id="2"/>
    <w:p>
      <w:pPr>
        <w:pStyle w:val="22"/>
        <w:keepNext w:val="0"/>
        <w:keepLines w:val="0"/>
        <w:pageBreakBefore w:val="0"/>
        <w:numPr>
          <w:ilvl w:val="1"/>
          <w:numId w:val="1"/>
        </w:numPr>
        <w:kinsoku/>
        <w:wordWrap/>
        <w:overflowPunct/>
        <w:topLinePunct w:val="0"/>
        <w:autoSpaceDE/>
        <w:autoSpaceDN/>
        <w:bidi w:val="0"/>
        <w:adjustRightInd/>
        <w:snapToGrid/>
        <w:spacing w:before="312" w:after="312" w:line="440" w:lineRule="exact"/>
        <w:textAlignment w:val="auto"/>
        <w:rPr>
          <w:lang w:val="zh-TW" w:eastAsia="zh-TW"/>
        </w:rPr>
      </w:pPr>
      <w:r>
        <w:rPr>
          <w:lang w:val="zh-TW" w:eastAsia="zh-TW"/>
        </w:rPr>
        <w:t>范围</w:t>
      </w:r>
    </w:p>
    <w:p>
      <w:pPr>
        <w:pStyle w:val="20"/>
        <w:keepNext w:val="0"/>
        <w:keepLines w:val="0"/>
        <w:pageBreakBefore w:val="0"/>
        <w:tabs>
          <w:tab w:val="center" w:pos="4201"/>
          <w:tab w:val="right" w:leader="dot" w:pos="9298"/>
        </w:tabs>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本文件提出了互联网测评相关利益主体良好行为的术语和定义、总则和通用要求。</w:t>
      </w:r>
    </w:p>
    <w:p>
      <w:pPr>
        <w:pStyle w:val="20"/>
        <w:keepNext w:val="0"/>
        <w:keepLines w:val="0"/>
        <w:pageBreakBefore w:val="0"/>
        <w:tabs>
          <w:tab w:val="center" w:pos="4201"/>
          <w:tab w:val="right" w:leader="dot" w:pos="9298"/>
        </w:tabs>
        <w:kinsoku/>
        <w:wordWrap/>
        <w:overflowPunct/>
        <w:topLinePunct w:val="0"/>
        <w:autoSpaceDE/>
        <w:autoSpaceDN/>
        <w:bidi w:val="0"/>
        <w:adjustRightInd/>
        <w:snapToGrid/>
        <w:spacing w:line="440" w:lineRule="exact"/>
        <w:ind w:firstLine="420"/>
        <w:textAlignment w:val="auto"/>
        <w:rPr>
          <w:lang w:val="zh-TW" w:eastAsia="zh-TW"/>
        </w:rPr>
      </w:pPr>
      <w:r>
        <w:rPr>
          <w:lang w:val="zh-TW" w:eastAsia="zh-TW"/>
        </w:rPr>
        <w:t>本文件适用于互联网测评领域的平台方、测评</w:t>
      </w:r>
      <w:r>
        <w:rPr>
          <w:rFonts w:hint="eastAsia"/>
          <w:lang w:val="en-US" w:eastAsia="zh-CN"/>
        </w:rPr>
        <w:t>主体</w:t>
      </w:r>
      <w:r>
        <w:rPr>
          <w:lang w:val="zh-TW" w:eastAsia="zh-TW"/>
        </w:rPr>
        <w:t>、消费者和监管部门等利益相关方。</w:t>
      </w:r>
    </w:p>
    <w:p>
      <w:pPr>
        <w:pStyle w:val="20"/>
        <w:keepNext w:val="0"/>
        <w:keepLines w:val="0"/>
        <w:pageBreakBefore w:val="0"/>
        <w:tabs>
          <w:tab w:val="center" w:pos="4201"/>
          <w:tab w:val="right" w:leader="dot" w:pos="9298"/>
        </w:tabs>
        <w:kinsoku/>
        <w:wordWrap/>
        <w:overflowPunct/>
        <w:topLinePunct w:val="0"/>
        <w:autoSpaceDE/>
        <w:autoSpaceDN/>
        <w:bidi w:val="0"/>
        <w:adjustRightInd/>
        <w:snapToGrid/>
        <w:spacing w:line="440" w:lineRule="exact"/>
        <w:ind w:firstLine="420"/>
        <w:textAlignment w:val="auto"/>
        <w:rPr>
          <w:rFonts w:hint="default" w:eastAsia="宋体"/>
          <w:lang w:val="en-US" w:eastAsia="zh-CN"/>
        </w:rPr>
      </w:pPr>
      <w:r>
        <w:rPr>
          <w:rFonts w:hint="eastAsia"/>
          <w:lang w:val="en-US" w:eastAsia="zh-CN"/>
        </w:rPr>
        <w:t>类似测评工作可参照本文件执行。</w:t>
      </w:r>
    </w:p>
    <w:p>
      <w:pPr>
        <w:pStyle w:val="22"/>
        <w:keepNext w:val="0"/>
        <w:keepLines w:val="0"/>
        <w:pageBreakBefore w:val="0"/>
        <w:numPr>
          <w:ilvl w:val="1"/>
          <w:numId w:val="1"/>
        </w:numPr>
        <w:kinsoku/>
        <w:wordWrap/>
        <w:overflowPunct/>
        <w:topLinePunct w:val="0"/>
        <w:autoSpaceDE/>
        <w:autoSpaceDN/>
        <w:bidi w:val="0"/>
        <w:adjustRightInd/>
        <w:snapToGrid/>
        <w:spacing w:before="312" w:after="312" w:line="440" w:lineRule="exact"/>
        <w:textAlignment w:val="auto"/>
        <w:rPr>
          <w:lang w:val="zh-TW" w:eastAsia="zh-TW"/>
        </w:rPr>
      </w:pPr>
      <w:r>
        <w:rPr>
          <w:lang w:val="zh-TW" w:eastAsia="zh-TW"/>
        </w:rPr>
        <w:t>规范性引用文件</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rFonts w:ascii="宋体" w:hAnsi="宋体"/>
        </w:rPr>
        <w:t xml:space="preserve">GB/T20000.6 </w:t>
      </w:r>
      <w:r>
        <w:rPr>
          <w:lang w:val="zh-TW" w:eastAsia="zh-TW"/>
        </w:rPr>
        <w:t>标准化工作指南第</w:t>
      </w:r>
      <w:r>
        <w:rPr>
          <w:rFonts w:ascii="宋体" w:hAnsi="宋体"/>
        </w:rPr>
        <w:t>6</w:t>
      </w:r>
      <w:r>
        <w:rPr>
          <w:lang w:val="zh-TW" w:eastAsia="zh-TW"/>
        </w:rPr>
        <w:t>部分：标准化良好行为规范</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rFonts w:hint="default" w:ascii="宋体" w:hAnsi="宋体"/>
          <w:lang w:val="en-US"/>
        </w:rPr>
        <w:t>ISO/TS 42502</w:t>
      </w:r>
      <w:r>
        <w:rPr>
          <w:rFonts w:ascii="宋体" w:hAnsi="宋体"/>
        </w:rPr>
        <w:t xml:space="preserve"> </w:t>
      </w:r>
      <w:r>
        <w:rPr>
          <w:lang w:val="zh-TW" w:eastAsia="zh-TW"/>
        </w:rPr>
        <w:t>共享经济 数字平台资源供给者审核指南</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rFonts w:ascii="宋体" w:hAnsi="宋体"/>
        </w:rPr>
        <w:t xml:space="preserve">GB/T 19001 </w:t>
      </w:r>
      <w:r>
        <w:rPr>
          <w:lang w:val="zh-TW" w:eastAsia="zh-TW"/>
        </w:rPr>
        <w:t>质量管理体系 要求</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ascii="宋体" w:hAnsi="宋体"/>
        </w:rPr>
        <w:t>GB</w:t>
      </w:r>
      <w:r>
        <w:rPr>
          <w:rFonts w:hint="eastAsia" w:ascii="宋体" w:hAnsi="宋体"/>
          <w:lang w:val="en-US" w:eastAsia="zh-CN"/>
        </w:rPr>
        <w:t>/</w:t>
      </w:r>
      <w:r>
        <w:rPr>
          <w:rFonts w:ascii="宋体" w:hAnsi="宋体"/>
        </w:rPr>
        <w:t xml:space="preserve">T 24353-2022 </w:t>
      </w:r>
      <w:r>
        <w:rPr>
          <w:lang w:val="zh-TW" w:eastAsia="zh-TW"/>
        </w:rPr>
        <w:t>风险管理 指南</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rFonts w:ascii="宋体" w:hAnsi="宋体"/>
        </w:rPr>
        <w:t>GB</w:t>
      </w:r>
      <w:r>
        <w:rPr>
          <w:rFonts w:hint="default" w:ascii="宋体" w:hAnsi="宋体"/>
        </w:rPr>
        <w:t>∕</w:t>
      </w:r>
      <w:r>
        <w:rPr>
          <w:rFonts w:ascii="宋体" w:hAnsi="宋体"/>
        </w:rPr>
        <w:t xml:space="preserve">T 34960.5-2018 </w:t>
      </w:r>
      <w:r>
        <w:rPr>
          <w:lang w:val="zh-TW" w:eastAsia="zh-TW"/>
        </w:rPr>
        <w:t>信息技术服务 治理 第</w:t>
      </w:r>
      <w:r>
        <w:rPr>
          <w:rFonts w:ascii="宋体" w:hAnsi="宋体"/>
        </w:rPr>
        <w:t>5</w:t>
      </w:r>
      <w:r>
        <w:rPr>
          <w:lang w:val="zh-TW" w:eastAsia="zh-TW"/>
        </w:rPr>
        <w:t>部分：数据治理规范</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rFonts w:hint="eastAsia" w:ascii="宋体" w:hAnsi="宋体"/>
          <w:lang w:eastAsia="zh-CN"/>
        </w:rPr>
        <w:t>GB/T 36073-2018</w:t>
      </w:r>
      <w:r>
        <w:rPr>
          <w:rFonts w:ascii="宋体" w:hAnsi="宋体"/>
        </w:rPr>
        <w:t xml:space="preserve"> </w:t>
      </w:r>
      <w:r>
        <w:rPr>
          <w:lang w:val="zh-TW" w:eastAsia="zh-TW"/>
        </w:rPr>
        <w:t>数据管理能力成熟度评估模型</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rFonts w:ascii="宋体" w:hAnsi="宋体"/>
        </w:rPr>
        <w:t>T/CPQS E00041</w:t>
      </w:r>
      <w:r>
        <w:rPr>
          <w:lang w:val="zh-TW" w:eastAsia="zh-TW"/>
        </w:rPr>
        <w:t>消费品测评工作指南</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ascii="宋体" w:hAnsi="宋体"/>
        </w:rPr>
        <w:t>T/CPQS E00042</w:t>
      </w:r>
      <w:r>
        <w:rPr>
          <w:lang w:val="zh-TW" w:eastAsia="zh-TW"/>
        </w:rPr>
        <w:t>消费品测评机构良好行为规范</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ascii="宋体" w:hAnsi="宋体"/>
        </w:rPr>
      </w:pPr>
      <w:r>
        <w:rPr>
          <w:rFonts w:ascii="宋体" w:hAnsi="宋体"/>
          <w:lang w:val="en-US" w:eastAsia="zh-CN"/>
        </w:rPr>
        <w:t>T/JSAS 054</w:t>
      </w:r>
      <w:r>
        <w:rPr>
          <w:rFonts w:hint="eastAsia" w:ascii="宋体" w:hAnsi="宋体"/>
          <w:lang w:val="en-US" w:eastAsia="zh-CN"/>
        </w:rPr>
        <w:t xml:space="preserve"> </w:t>
      </w:r>
      <w:r>
        <w:rPr>
          <w:rFonts w:ascii="宋体" w:hAnsi="宋体"/>
          <w:lang w:val="en-US" w:eastAsia="zh-CN"/>
        </w:rPr>
        <w:t>第三方测评工作指南</w:t>
      </w:r>
    </w:p>
    <w:p>
      <w:pPr>
        <w:pStyle w:val="22"/>
        <w:keepNext w:val="0"/>
        <w:keepLines w:val="0"/>
        <w:pageBreakBefore w:val="0"/>
        <w:numPr>
          <w:ilvl w:val="1"/>
          <w:numId w:val="1"/>
        </w:numPr>
        <w:kinsoku/>
        <w:wordWrap/>
        <w:overflowPunct/>
        <w:topLinePunct w:val="0"/>
        <w:autoSpaceDE/>
        <w:autoSpaceDN/>
        <w:bidi w:val="0"/>
        <w:adjustRightInd/>
        <w:snapToGrid/>
        <w:spacing w:before="312" w:after="312" w:line="440" w:lineRule="exact"/>
        <w:textAlignment w:val="auto"/>
        <w:rPr>
          <w:lang w:val="zh-TW" w:eastAsia="zh-TW"/>
        </w:rPr>
      </w:pPr>
      <w:r>
        <w:rPr>
          <w:lang w:val="zh-TW" w:eastAsia="zh-TW"/>
        </w:rPr>
        <w:t>术语和定义</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下列术语和定义适用于本文件。</w:t>
      </w:r>
    </w:p>
    <w:p>
      <w:pPr>
        <w:pStyle w:val="23"/>
        <w:keepNext w:val="0"/>
        <w:keepLines w:val="0"/>
        <w:pageBreakBefore w:val="0"/>
        <w:kinsoku/>
        <w:wordWrap/>
        <w:overflowPunct/>
        <w:topLinePunct w:val="0"/>
        <w:autoSpaceDE/>
        <w:autoSpaceDN/>
        <w:bidi w:val="0"/>
        <w:adjustRightInd/>
        <w:snapToGrid/>
        <w:spacing w:before="156" w:after="156" w:line="440" w:lineRule="exact"/>
        <w:ind w:left="400" w:hanging="400" w:hangingChars="200"/>
        <w:textAlignment w:val="auto"/>
        <w:rPr>
          <w:rFonts w:ascii="黑体" w:hAnsi="黑体" w:eastAsia="黑体" w:cs="黑体"/>
          <w:kern w:val="0"/>
          <w:sz w:val="20"/>
          <w:szCs w:val="20"/>
          <w:lang w:eastAsia="zh-TW"/>
        </w:rPr>
      </w:pPr>
      <w:r>
        <w:rPr>
          <w:rFonts w:ascii="黑体" w:hAnsi="黑体" w:eastAsia="黑体" w:cs="黑体"/>
          <w:sz w:val="20"/>
          <w:szCs w:val="20"/>
          <w:lang w:eastAsia="zh-TW"/>
        </w:rPr>
        <w:t>3.1</w:t>
      </w:r>
      <w:r>
        <w:rPr>
          <w:rFonts w:ascii="黑体" w:hAnsi="黑体" w:eastAsia="黑体" w:cs="黑体"/>
          <w:sz w:val="20"/>
          <w:szCs w:val="20"/>
          <w:lang w:eastAsia="zh-TW"/>
        </w:rPr>
        <w:br w:type="textWrapping"/>
      </w:r>
      <w:r>
        <w:rPr>
          <w:rFonts w:ascii="黑体" w:hAnsi="黑体" w:eastAsia="黑体" w:cs="黑体"/>
          <w:kern w:val="0"/>
          <w:sz w:val="20"/>
          <w:szCs w:val="20"/>
          <w:lang w:val="zh-TW" w:eastAsia="zh-TW"/>
        </w:rPr>
        <w:t>测评</w:t>
      </w:r>
      <w:r>
        <w:rPr>
          <w:rFonts w:ascii="黑体" w:hAnsi="黑体" w:eastAsia="黑体" w:cs="黑体"/>
          <w:kern w:val="0"/>
          <w:sz w:val="20"/>
          <w:szCs w:val="20"/>
          <w:lang w:eastAsia="zh-TW"/>
        </w:rPr>
        <w:t xml:space="preserve"> testing and evaluation </w:t>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en-US" w:eastAsia="zh-CN"/>
        </w:rPr>
        <w:t>对测评对象就功能、性能、功效、质量、安全、标识标签规范、宣传与实物的一致性</w:t>
      </w:r>
      <w:r>
        <w:rPr>
          <w:rFonts w:hint="eastAsia" w:eastAsia="宋体"/>
          <w:lang w:val="zh-TW" w:eastAsia="zh-TW"/>
        </w:rPr>
        <w:t>等方面指标进行对比检测、评价的活动。</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ascii="黑体" w:hAnsi="黑体" w:eastAsia="黑体" w:cs="黑体"/>
          <w:kern w:val="0"/>
          <w:sz w:val="20"/>
          <w:szCs w:val="20"/>
          <w:lang w:eastAsia="zh-TW"/>
        </w:rPr>
      </w:pPr>
      <w:r>
        <w:rPr>
          <w:rFonts w:ascii="黑体" w:hAnsi="黑体" w:eastAsia="黑体" w:cs="黑体"/>
          <w:kern w:val="0"/>
          <w:sz w:val="20"/>
          <w:szCs w:val="20"/>
          <w:lang w:eastAsia="zh-TW"/>
        </w:rPr>
        <w:t>3.2</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lang w:eastAsia="zh-TW"/>
        </w:rPr>
      </w:pPr>
      <w:r>
        <w:rPr>
          <w:rFonts w:ascii="黑体" w:hAnsi="黑体" w:eastAsia="黑体" w:cs="黑体"/>
          <w:kern w:val="0"/>
          <w:sz w:val="20"/>
          <w:szCs w:val="20"/>
          <w:lang w:val="zh-TW" w:eastAsia="zh-TW"/>
        </w:rPr>
        <w:t xml:space="preserve">互联网测评 </w:t>
      </w:r>
      <w:r>
        <w:rPr>
          <w:rFonts w:ascii="黑体" w:hAnsi="黑体" w:eastAsia="黑体" w:cs="黑体"/>
          <w:kern w:val="0"/>
          <w:sz w:val="20"/>
          <w:szCs w:val="20"/>
          <w:lang w:eastAsia="zh-TW"/>
        </w:rPr>
        <w:t>the  online third-party testing and evaluation</w:t>
      </w:r>
    </w:p>
    <w:p>
      <w:pPr>
        <w:keepNext w:val="0"/>
        <w:keepLines w:val="0"/>
        <w:pageBreakBefore w:val="0"/>
        <w:kinsoku/>
        <w:wordWrap/>
        <w:overflowPunct/>
        <w:topLinePunct w:val="0"/>
        <w:autoSpaceDE/>
        <w:autoSpaceDN/>
        <w:bidi w:val="0"/>
        <w:adjustRightInd/>
        <w:snapToGrid/>
        <w:spacing w:line="440" w:lineRule="exact"/>
        <w:ind w:firstLine="420"/>
        <w:textAlignment w:val="auto"/>
      </w:pPr>
      <w:r>
        <w:rPr>
          <w:rFonts w:hint="eastAsia" w:eastAsia="宋体"/>
          <w:lang w:val="zh-TW" w:eastAsia="zh-TW"/>
        </w:rPr>
        <w:t>未取得国家检验检测资质认定（CMA）及中国合格评定国家认可委员会（CNAS）认可的组织或者个人，宣称通过自身测评或引用对比专业检测结果、分析调研数据、表达使用感受等方式对</w:t>
      </w:r>
      <w:r>
        <w:rPr>
          <w:rFonts w:hint="eastAsia" w:eastAsia="宋体"/>
          <w:lang w:val="en-US" w:eastAsia="zh-CN"/>
        </w:rPr>
        <w:t>产品或服务</w:t>
      </w:r>
      <w:r>
        <w:rPr>
          <w:rFonts w:hint="eastAsia" w:eastAsia="宋体"/>
          <w:lang w:val="zh-TW" w:eastAsia="zh-TW"/>
        </w:rPr>
        <w:t>的</w:t>
      </w:r>
      <w:r>
        <w:rPr>
          <w:rFonts w:hint="eastAsia" w:eastAsia="宋体"/>
          <w:lang w:val="en-US" w:eastAsia="zh-CN"/>
        </w:rPr>
        <w:t>功能、性能、功效、质量、安全、标识标签规范、宣传与实物的一致性</w:t>
      </w:r>
      <w:r>
        <w:rPr>
          <w:rFonts w:hint="eastAsia" w:eastAsia="宋体"/>
          <w:lang w:val="zh-TW" w:eastAsia="zh-TW"/>
        </w:rPr>
        <w:t>等方面进行横向或纵向比较，并将结果以图文、视频或直播的形式，通过互联网进行发布推广，为消费者提供购买参考。</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ascii="黑体" w:hAnsi="黑体" w:eastAsia="黑体" w:cs="黑体"/>
          <w:kern w:val="0"/>
          <w:sz w:val="20"/>
          <w:szCs w:val="20"/>
        </w:rPr>
      </w:pPr>
      <w:r>
        <w:rPr>
          <w:rFonts w:ascii="黑体" w:hAnsi="黑体" w:eastAsia="黑体" w:cs="黑体"/>
          <w:kern w:val="0"/>
          <w:sz w:val="20"/>
          <w:szCs w:val="20"/>
        </w:rPr>
        <w:t>3.3</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rPr>
      </w:pPr>
      <w:r>
        <w:rPr>
          <w:rFonts w:ascii="黑体" w:hAnsi="黑体" w:eastAsia="黑体" w:cs="黑体"/>
          <w:kern w:val="0"/>
          <w:sz w:val="20"/>
          <w:szCs w:val="20"/>
          <w:lang w:val="zh-TW" w:eastAsia="zh-TW"/>
        </w:rPr>
        <w:t xml:space="preserve">测评对象 </w:t>
      </w:r>
      <w:r>
        <w:rPr>
          <w:rFonts w:ascii="黑体" w:hAnsi="黑体" w:eastAsia="黑体" w:cs="黑体"/>
          <w:kern w:val="0"/>
          <w:sz w:val="20"/>
          <w:szCs w:val="20"/>
        </w:rPr>
        <w:t xml:space="preserve">object of testing and evaluation </w:t>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zh-TW" w:eastAsia="zh-TW"/>
        </w:rPr>
        <w:t>测评活动的客体，即</w:t>
      </w:r>
      <w:r>
        <w:rPr>
          <w:rFonts w:hint="eastAsia" w:eastAsia="宋体"/>
          <w:lang w:val="en-US" w:eastAsia="zh-CN"/>
        </w:rPr>
        <w:t>依法依规</w:t>
      </w:r>
      <w:r>
        <w:rPr>
          <w:rFonts w:hint="eastAsia" w:eastAsia="宋体"/>
          <w:lang w:val="zh-TW" w:eastAsia="zh-TW"/>
        </w:rPr>
        <w:t>可供测评的各类产品或服务。</w:t>
      </w:r>
    </w:p>
    <w:p>
      <w:pPr>
        <w:keepNext w:val="0"/>
        <w:keepLines w:val="0"/>
        <w:pageBreakBefore w:val="0"/>
        <w:widowControl/>
        <w:tabs>
          <w:tab w:val="right" w:pos="9070"/>
        </w:tabs>
        <w:kinsoku/>
        <w:wordWrap/>
        <w:overflowPunct/>
        <w:topLinePunct w:val="0"/>
        <w:autoSpaceDE/>
        <w:autoSpaceDN/>
        <w:bidi w:val="0"/>
        <w:adjustRightInd/>
        <w:snapToGrid/>
        <w:spacing w:before="156" w:after="156" w:line="440" w:lineRule="exact"/>
        <w:textAlignment w:val="auto"/>
        <w:outlineLvl w:val="1"/>
        <w:rPr>
          <w:rFonts w:ascii="黑体" w:hAnsi="黑体" w:eastAsia="黑体" w:cs="黑体"/>
          <w:kern w:val="0"/>
          <w:sz w:val="20"/>
          <w:szCs w:val="20"/>
        </w:rPr>
      </w:pPr>
      <w:r>
        <w:rPr>
          <w:rFonts w:ascii="黑体" w:hAnsi="黑体" w:eastAsia="黑体" w:cs="黑体"/>
          <w:kern w:val="0"/>
          <w:sz w:val="20"/>
          <w:szCs w:val="20"/>
        </w:rPr>
        <w:t>3.4</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rPr>
      </w:pPr>
      <w:r>
        <w:rPr>
          <w:rFonts w:ascii="黑体" w:hAnsi="黑体" w:eastAsia="黑体" w:cs="黑体"/>
          <w:kern w:val="0"/>
          <w:sz w:val="20"/>
          <w:szCs w:val="20"/>
          <w:lang w:val="zh-TW" w:eastAsia="zh-TW"/>
        </w:rPr>
        <w:t xml:space="preserve">测评指标 </w:t>
      </w:r>
      <w:r>
        <w:rPr>
          <w:rFonts w:ascii="黑体" w:hAnsi="黑体" w:eastAsia="黑体" w:cs="黑体"/>
          <w:kern w:val="0"/>
          <w:sz w:val="20"/>
          <w:szCs w:val="20"/>
        </w:rPr>
        <w:t>indicator of testing and evaluation</w:t>
      </w:r>
      <w:r>
        <w:rPr>
          <w:rFonts w:ascii="黑体" w:hAnsi="黑体" w:eastAsia="黑体" w:cs="黑体"/>
          <w:kern w:val="0"/>
          <w:sz w:val="20"/>
          <w:szCs w:val="20"/>
        </w:rPr>
        <w:tab/>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zh-TW" w:eastAsia="zh-TW"/>
        </w:rPr>
        <w:t>测评活动中用于衡量测评对象的具体项目。</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ascii="黑体" w:hAnsi="黑体" w:eastAsia="黑体" w:cs="黑体"/>
          <w:kern w:val="0"/>
          <w:sz w:val="20"/>
          <w:szCs w:val="20"/>
        </w:rPr>
      </w:pPr>
      <w:r>
        <w:rPr>
          <w:rFonts w:ascii="黑体" w:hAnsi="黑体" w:eastAsia="黑体" w:cs="黑体"/>
          <w:kern w:val="0"/>
          <w:sz w:val="20"/>
          <w:szCs w:val="20"/>
        </w:rPr>
        <w:t>3.5</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rPr>
      </w:pPr>
      <w:r>
        <w:rPr>
          <w:rFonts w:ascii="黑体" w:hAnsi="黑体" w:eastAsia="黑体" w:cs="黑体"/>
          <w:kern w:val="0"/>
          <w:sz w:val="20"/>
          <w:szCs w:val="20"/>
          <w:lang w:val="zh-TW" w:eastAsia="zh-TW"/>
        </w:rPr>
        <w:t>测评</w:t>
      </w:r>
      <w:r>
        <w:rPr>
          <w:rFonts w:hint="eastAsia" w:ascii="黑体" w:hAnsi="黑体" w:eastAsia="黑体" w:cs="黑体"/>
          <w:kern w:val="0"/>
          <w:sz w:val="20"/>
          <w:szCs w:val="20"/>
          <w:lang w:val="en-US" w:eastAsia="zh-CN"/>
        </w:rPr>
        <w:t>主体</w:t>
      </w:r>
      <w:r>
        <w:rPr>
          <w:rFonts w:ascii="黑体" w:hAnsi="黑体" w:eastAsia="黑体" w:cs="黑体"/>
          <w:kern w:val="0"/>
          <w:sz w:val="20"/>
          <w:szCs w:val="20"/>
          <w:lang w:val="zh-TW" w:eastAsia="zh-TW"/>
        </w:rPr>
        <w:t xml:space="preserve"> </w:t>
      </w:r>
      <w:r>
        <w:rPr>
          <w:rFonts w:ascii="黑体" w:hAnsi="黑体" w:eastAsia="黑体" w:cs="黑体"/>
          <w:kern w:val="0"/>
          <w:sz w:val="20"/>
          <w:szCs w:val="20"/>
        </w:rPr>
        <w:t xml:space="preserve">testing and evaluation body </w:t>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zh-TW" w:eastAsia="zh-TW"/>
        </w:rPr>
        <w:t>测评活动的组织方，</w:t>
      </w:r>
      <w:r>
        <w:rPr>
          <w:rFonts w:hint="eastAsia" w:eastAsia="宋体"/>
          <w:lang w:val="en-US" w:eastAsia="zh-CN"/>
        </w:rPr>
        <w:t>应是非同业竞争方或非利益相关方，</w:t>
      </w:r>
      <w:r>
        <w:rPr>
          <w:rFonts w:hint="eastAsia" w:eastAsia="宋体"/>
          <w:lang w:val="zh-TW" w:eastAsia="zh-TW"/>
        </w:rPr>
        <w:t>依据相关标准化文件，组织对测评对象进行采样、送检、测评及结果发布的单位、组织或自然人。</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ascii="黑体" w:hAnsi="黑体" w:eastAsia="黑体" w:cs="黑体"/>
          <w:kern w:val="0"/>
          <w:sz w:val="20"/>
          <w:szCs w:val="20"/>
        </w:rPr>
      </w:pPr>
      <w:r>
        <w:rPr>
          <w:rFonts w:ascii="黑体" w:hAnsi="黑体" w:eastAsia="黑体" w:cs="黑体"/>
          <w:kern w:val="0"/>
          <w:sz w:val="20"/>
          <w:szCs w:val="20"/>
        </w:rPr>
        <w:t>3.6</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pPr>
      <w:r>
        <w:rPr>
          <w:rFonts w:ascii="黑体" w:hAnsi="黑体" w:eastAsia="黑体" w:cs="黑体"/>
          <w:kern w:val="0"/>
          <w:sz w:val="20"/>
          <w:szCs w:val="20"/>
          <w:lang w:val="zh-TW" w:eastAsia="zh-TW"/>
        </w:rPr>
        <w:t>符合性测评</w:t>
      </w:r>
    </w:p>
    <w:p>
      <w:pPr>
        <w:keepNext w:val="0"/>
        <w:keepLines w:val="0"/>
        <w:pageBreakBefore w:val="0"/>
        <w:widowControl/>
        <w:kinsoku/>
        <w:wordWrap/>
        <w:overflowPunct/>
        <w:topLinePunct w:val="0"/>
        <w:autoSpaceDE/>
        <w:autoSpaceDN/>
        <w:bidi w:val="0"/>
        <w:adjustRightInd/>
        <w:snapToGrid/>
        <w:spacing w:before="0" w:after="0" w:line="440" w:lineRule="exact"/>
        <w:ind w:firstLine="420"/>
        <w:textAlignment w:val="auto"/>
        <w:outlineLvl w:val="9"/>
        <w:rPr>
          <w:rFonts w:hint="eastAsia" w:eastAsia="宋体"/>
          <w:lang w:val="zh-TW" w:eastAsia="zh-TW"/>
        </w:rPr>
      </w:pPr>
      <w:r>
        <w:rPr>
          <w:rFonts w:hint="eastAsia" w:eastAsia="宋体"/>
          <w:lang w:val="en-US" w:eastAsia="zh-CN"/>
        </w:rPr>
        <w:t>对</w:t>
      </w:r>
      <w:r>
        <w:rPr>
          <w:rFonts w:hint="eastAsia" w:eastAsia="宋体"/>
          <w:lang w:val="zh-TW" w:eastAsia="zh-TW"/>
        </w:rPr>
        <w:t>产品实物</w:t>
      </w:r>
      <w:r>
        <w:rPr>
          <w:rFonts w:hint="eastAsia" w:eastAsia="宋体"/>
          <w:lang w:val="en-US" w:eastAsia="zh-CN"/>
        </w:rPr>
        <w:t>或服务的功能、性能、功效、质量、安全、标识标签规范、宣传与实物的一致性</w:t>
      </w:r>
      <w:r>
        <w:rPr>
          <w:rFonts w:hint="eastAsia" w:eastAsia="宋体"/>
          <w:lang w:val="zh-TW" w:eastAsia="zh-TW"/>
        </w:rPr>
        <w:t>等方面指标进行对比检测、评价</w:t>
      </w:r>
      <w:r>
        <w:rPr>
          <w:rFonts w:hint="eastAsia" w:eastAsia="宋体"/>
          <w:lang w:val="zh-TW" w:eastAsia="zh-CN"/>
        </w:rPr>
        <w:t>，</w:t>
      </w:r>
      <w:r>
        <w:rPr>
          <w:rFonts w:hint="eastAsia" w:eastAsia="宋体"/>
          <w:lang w:val="en-US" w:eastAsia="zh-CN"/>
        </w:rPr>
        <w:t>看其是否与其</w:t>
      </w:r>
      <w:r>
        <w:rPr>
          <w:rFonts w:hint="eastAsia" w:eastAsia="宋体"/>
          <w:lang w:val="zh-TW" w:eastAsia="zh-TW"/>
        </w:rPr>
        <w:t>明示内容</w:t>
      </w:r>
      <w:r>
        <w:rPr>
          <w:rFonts w:hint="eastAsia" w:eastAsia="宋体"/>
          <w:lang w:val="en-US" w:eastAsia="zh-CN"/>
        </w:rPr>
        <w:t>或</w:t>
      </w:r>
      <w:r>
        <w:rPr>
          <w:rFonts w:hint="eastAsia" w:eastAsia="宋体"/>
          <w:lang w:val="zh-TW" w:eastAsia="zh-TW"/>
        </w:rPr>
        <w:t>消费者普遍预期</w:t>
      </w:r>
      <w:r>
        <w:rPr>
          <w:rFonts w:hint="eastAsia" w:eastAsia="宋体"/>
          <w:lang w:val="en-US" w:eastAsia="zh-CN"/>
        </w:rPr>
        <w:t>相符合的活动。</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ascii="黑体" w:hAnsi="黑体" w:eastAsia="黑体" w:cs="黑体"/>
          <w:kern w:val="0"/>
          <w:sz w:val="20"/>
          <w:szCs w:val="20"/>
        </w:rPr>
      </w:pPr>
      <w:r>
        <w:rPr>
          <w:rFonts w:ascii="黑体" w:hAnsi="黑体" w:eastAsia="黑体" w:cs="黑体"/>
          <w:kern w:val="0"/>
          <w:sz w:val="20"/>
          <w:szCs w:val="20"/>
        </w:rPr>
        <w:t>3.7</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lang w:eastAsia="zh-TW"/>
        </w:rPr>
      </w:pPr>
      <w:r>
        <w:rPr>
          <w:rFonts w:ascii="黑体" w:hAnsi="黑体" w:eastAsia="黑体" w:cs="黑体"/>
          <w:kern w:val="0"/>
          <w:sz w:val="20"/>
          <w:szCs w:val="20"/>
          <w:lang w:val="zh-TW" w:eastAsia="zh-TW"/>
        </w:rPr>
        <w:t>平台</w:t>
      </w:r>
      <w:r>
        <w:rPr>
          <w:rFonts w:hint="eastAsia" w:ascii="黑体" w:hAnsi="黑体" w:eastAsia="黑体" w:cs="黑体"/>
          <w:kern w:val="0"/>
          <w:sz w:val="20"/>
          <w:szCs w:val="20"/>
          <w:lang w:val="en-US" w:eastAsia="zh-CN"/>
        </w:rPr>
        <w:t>运营</w:t>
      </w:r>
      <w:r>
        <w:rPr>
          <w:rFonts w:ascii="黑体" w:hAnsi="黑体" w:eastAsia="黑体" w:cs="黑体"/>
          <w:kern w:val="0"/>
          <w:sz w:val="20"/>
          <w:szCs w:val="20"/>
          <w:lang w:val="zh-TW" w:eastAsia="zh-TW"/>
        </w:rPr>
        <w:t>者</w:t>
      </w:r>
      <w:r>
        <w:rPr>
          <w:rFonts w:ascii="黑体" w:hAnsi="黑体" w:eastAsia="黑体" w:cs="黑体"/>
          <w:kern w:val="0"/>
          <w:sz w:val="20"/>
          <w:szCs w:val="20"/>
          <w:lang w:eastAsia="zh-TW"/>
        </w:rPr>
        <w:t>undertakings of the platform</w:t>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en-US" w:eastAsia="zh-CN"/>
        </w:rPr>
        <w:t>在</w:t>
      </w:r>
      <w:r>
        <w:rPr>
          <w:rFonts w:hint="eastAsia" w:eastAsia="宋体"/>
          <w:lang w:val="zh-TW" w:eastAsia="zh-TW"/>
        </w:rPr>
        <w:t>通过网络信息技术</w:t>
      </w:r>
      <w:r>
        <w:rPr>
          <w:rFonts w:hint="eastAsia" w:eastAsia="宋体"/>
          <w:lang w:val="zh-TW" w:eastAsia="zh-CN"/>
        </w:rPr>
        <w:t>、</w:t>
      </w:r>
      <w:r>
        <w:rPr>
          <w:rFonts w:hint="eastAsia" w:eastAsia="宋体"/>
          <w:lang w:val="zh-TW" w:eastAsia="zh-TW"/>
        </w:rPr>
        <w:t>使相互依赖的双边或者多</w:t>
      </w:r>
      <w:r>
        <w:rPr>
          <w:rFonts w:hint="eastAsia" w:eastAsia="宋体"/>
          <w:lang w:val="zh-TW" w:eastAsia="zh-CN"/>
        </w:rPr>
        <w:t>边</w:t>
      </w:r>
      <w:r>
        <w:rPr>
          <w:rFonts w:hint="eastAsia" w:eastAsia="宋体"/>
          <w:lang w:val="zh-TW" w:eastAsia="zh-TW"/>
        </w:rPr>
        <w:t>主体在特定载体提供的规则下交互</w:t>
      </w:r>
      <w:r>
        <w:rPr>
          <w:rFonts w:hint="eastAsia" w:eastAsia="宋体"/>
          <w:lang w:val="zh-TW" w:eastAsia="zh-CN"/>
        </w:rPr>
        <w:t>、</w:t>
      </w:r>
      <w:r>
        <w:rPr>
          <w:rFonts w:hint="eastAsia" w:eastAsia="宋体"/>
          <w:lang w:val="zh-TW" w:eastAsia="zh-TW"/>
        </w:rPr>
        <w:t>以此共同创造价值</w:t>
      </w:r>
      <w:r>
        <w:rPr>
          <w:rFonts w:hint="eastAsia" w:eastAsia="宋体"/>
          <w:lang w:val="en-US" w:eastAsia="zh-CN"/>
        </w:rPr>
        <w:t>的互联网平台上，</w:t>
      </w:r>
      <w:r>
        <w:rPr>
          <w:rFonts w:hint="eastAsia" w:eastAsia="宋体"/>
          <w:lang w:val="zh-TW" w:eastAsia="zh-TW"/>
        </w:rPr>
        <w:t>向自然人、法人及其他市场主体提供经营场所、交易撮合、信息交流等服务的经营者。</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hint="eastAsia" w:ascii="黑体" w:hAnsi="黑体" w:eastAsia="黑体" w:cs="黑体"/>
          <w:kern w:val="0"/>
          <w:sz w:val="20"/>
          <w:szCs w:val="20"/>
          <w:lang w:eastAsia="zh-CN"/>
        </w:rPr>
      </w:pPr>
      <w:r>
        <w:rPr>
          <w:rFonts w:ascii="黑体" w:hAnsi="黑体" w:eastAsia="黑体" w:cs="黑体"/>
          <w:kern w:val="0"/>
          <w:sz w:val="20"/>
          <w:szCs w:val="20"/>
          <w:lang w:eastAsia="zh-TW"/>
        </w:rPr>
        <w:t>3.</w:t>
      </w:r>
      <w:r>
        <w:rPr>
          <w:rFonts w:hint="eastAsia" w:ascii="黑体" w:hAnsi="黑体" w:eastAsia="黑体" w:cs="黑体"/>
          <w:kern w:val="0"/>
          <w:sz w:val="20"/>
          <w:szCs w:val="20"/>
          <w:lang w:val="en-US" w:eastAsia="zh-CN"/>
        </w:rPr>
        <w:t>8</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lang w:eastAsia="zh-TW"/>
        </w:rPr>
      </w:pPr>
      <w:r>
        <w:rPr>
          <w:rFonts w:ascii="黑体" w:hAnsi="黑体" w:eastAsia="黑体" w:cs="黑体"/>
          <w:kern w:val="0"/>
          <w:sz w:val="20"/>
          <w:szCs w:val="20"/>
          <w:lang w:val="zh-TW" w:eastAsia="zh-TW"/>
        </w:rPr>
        <w:t xml:space="preserve">消费者 </w:t>
      </w:r>
      <w:r>
        <w:rPr>
          <w:rFonts w:ascii="黑体" w:hAnsi="黑体" w:eastAsia="黑体" w:cs="黑体"/>
          <w:kern w:val="0"/>
          <w:sz w:val="20"/>
          <w:szCs w:val="20"/>
          <w:lang w:eastAsia="zh-TW"/>
        </w:rPr>
        <w:t>consumer</w:t>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zh-TW" w:eastAsia="zh-TW"/>
        </w:rPr>
        <w:t>出于私人目的购买或使用财产、产品或服务的个人。</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hint="eastAsia" w:ascii="黑体" w:hAnsi="黑体" w:eastAsia="黑体" w:cs="黑体"/>
          <w:kern w:val="0"/>
          <w:sz w:val="20"/>
          <w:szCs w:val="20"/>
          <w:lang w:val="en-US" w:eastAsia="zh-CN"/>
        </w:rPr>
      </w:pPr>
      <w:r>
        <w:rPr>
          <w:rFonts w:ascii="黑体" w:hAnsi="黑体" w:eastAsia="黑体" w:cs="黑体"/>
          <w:kern w:val="0"/>
          <w:sz w:val="20"/>
          <w:szCs w:val="20"/>
          <w:lang w:eastAsia="zh-TW"/>
        </w:rPr>
        <w:t>3.</w:t>
      </w:r>
      <w:r>
        <w:rPr>
          <w:rFonts w:hint="eastAsia" w:ascii="黑体" w:hAnsi="黑体" w:eastAsia="黑体" w:cs="黑体"/>
          <w:kern w:val="0"/>
          <w:sz w:val="20"/>
          <w:szCs w:val="20"/>
          <w:lang w:val="en-US" w:eastAsia="zh-CN"/>
        </w:rPr>
        <w:t>9</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lang w:eastAsia="zh-TW"/>
        </w:rPr>
      </w:pPr>
      <w:r>
        <w:rPr>
          <w:rFonts w:ascii="黑体" w:hAnsi="黑体" w:eastAsia="黑体" w:cs="黑体"/>
          <w:kern w:val="0"/>
          <w:sz w:val="20"/>
          <w:szCs w:val="20"/>
          <w:lang w:val="zh-TW" w:eastAsia="zh-TW"/>
        </w:rPr>
        <w:t>委托测评</w:t>
      </w:r>
      <w:r>
        <w:rPr>
          <w:rFonts w:ascii="黑体" w:hAnsi="黑体" w:eastAsia="黑体" w:cs="黑体"/>
          <w:kern w:val="0"/>
          <w:sz w:val="20"/>
          <w:szCs w:val="20"/>
          <w:lang w:eastAsia="zh-TW"/>
        </w:rPr>
        <w:t>commissioned evaluation</w:t>
      </w:r>
    </w:p>
    <w:p>
      <w:pPr>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rFonts w:hint="eastAsia" w:eastAsia="宋体"/>
          <w:lang w:val="zh-TW" w:eastAsia="zh-TW"/>
        </w:rPr>
        <w:t>由企业委托测评</w:t>
      </w:r>
      <w:r>
        <w:rPr>
          <w:rFonts w:hint="eastAsia" w:eastAsia="宋体"/>
          <w:lang w:val="en-US" w:eastAsia="zh-CN"/>
        </w:rPr>
        <w:t>主体</w:t>
      </w:r>
      <w:r>
        <w:rPr>
          <w:rFonts w:hint="eastAsia" w:eastAsia="宋体"/>
          <w:lang w:val="zh-TW" w:eastAsia="zh-TW"/>
        </w:rPr>
        <w:t>开展的测评。</w:t>
      </w:r>
    </w:p>
    <w:p>
      <w:pPr>
        <w:keepNext w:val="0"/>
        <w:keepLines w:val="0"/>
        <w:pageBreakBefore w:val="0"/>
        <w:widowControl/>
        <w:kinsoku/>
        <w:wordWrap/>
        <w:overflowPunct/>
        <w:topLinePunct w:val="0"/>
        <w:autoSpaceDE/>
        <w:autoSpaceDN/>
        <w:bidi w:val="0"/>
        <w:adjustRightInd/>
        <w:snapToGrid/>
        <w:spacing w:before="156" w:after="156" w:line="440" w:lineRule="exact"/>
        <w:textAlignment w:val="auto"/>
        <w:outlineLvl w:val="1"/>
        <w:rPr>
          <w:rFonts w:hint="eastAsia" w:ascii="黑体" w:hAnsi="黑体" w:eastAsia="黑体" w:cs="黑体"/>
          <w:kern w:val="0"/>
          <w:sz w:val="20"/>
          <w:szCs w:val="20"/>
          <w:lang w:val="en-US" w:eastAsia="zh-CN"/>
        </w:rPr>
      </w:pPr>
      <w:r>
        <w:rPr>
          <w:rFonts w:ascii="黑体" w:hAnsi="黑体" w:eastAsia="黑体" w:cs="黑体"/>
          <w:kern w:val="0"/>
          <w:sz w:val="20"/>
          <w:szCs w:val="20"/>
        </w:rPr>
        <w:t>3.1</w:t>
      </w:r>
      <w:r>
        <w:rPr>
          <w:rFonts w:hint="eastAsia" w:ascii="黑体" w:hAnsi="黑体" w:eastAsia="黑体" w:cs="黑体"/>
          <w:kern w:val="0"/>
          <w:sz w:val="20"/>
          <w:szCs w:val="20"/>
          <w:lang w:val="en-US" w:eastAsia="zh-CN"/>
        </w:rPr>
        <w:t>0</w:t>
      </w:r>
    </w:p>
    <w:p>
      <w:pPr>
        <w:keepNext w:val="0"/>
        <w:keepLines w:val="0"/>
        <w:pageBreakBefore w:val="0"/>
        <w:widowControl/>
        <w:kinsoku/>
        <w:wordWrap/>
        <w:overflowPunct/>
        <w:topLinePunct w:val="0"/>
        <w:autoSpaceDE/>
        <w:autoSpaceDN/>
        <w:bidi w:val="0"/>
        <w:adjustRightInd/>
        <w:snapToGrid/>
        <w:spacing w:before="156" w:after="156" w:line="440" w:lineRule="exact"/>
        <w:ind w:firstLine="400"/>
        <w:textAlignment w:val="auto"/>
        <w:outlineLvl w:val="1"/>
        <w:rPr>
          <w:rFonts w:ascii="黑体" w:hAnsi="黑体" w:eastAsia="黑体" w:cs="黑体"/>
          <w:kern w:val="0"/>
          <w:sz w:val="20"/>
          <w:szCs w:val="20"/>
        </w:rPr>
      </w:pPr>
      <w:r>
        <w:rPr>
          <w:rFonts w:ascii="黑体" w:hAnsi="黑体" w:eastAsia="黑体" w:cs="黑体"/>
          <w:kern w:val="0"/>
          <w:sz w:val="20"/>
          <w:szCs w:val="20"/>
          <w:lang w:val="zh-TW" w:eastAsia="zh-TW"/>
        </w:rPr>
        <w:t xml:space="preserve">横向测评 </w:t>
      </w:r>
      <w:r>
        <w:rPr>
          <w:rFonts w:ascii="黑体" w:hAnsi="黑体" w:eastAsia="黑体" w:cs="黑体"/>
          <w:kern w:val="0"/>
          <w:sz w:val="20"/>
          <w:szCs w:val="20"/>
        </w:rPr>
        <w:t>horizontal evaluation</w:t>
      </w:r>
    </w:p>
    <w:p>
      <w:pPr>
        <w:keepNext w:val="0"/>
        <w:keepLines w:val="0"/>
        <w:pageBreakBefore w:val="0"/>
        <w:kinsoku/>
        <w:wordWrap/>
        <w:overflowPunct/>
        <w:topLinePunct w:val="0"/>
        <w:autoSpaceDE/>
        <w:autoSpaceDN/>
        <w:bidi w:val="0"/>
        <w:adjustRightInd/>
        <w:snapToGrid/>
        <w:spacing w:line="440" w:lineRule="exact"/>
        <w:ind w:firstLine="420"/>
        <w:textAlignment w:val="auto"/>
        <w:rPr>
          <w:rFonts w:hint="eastAsia" w:eastAsia="宋体"/>
          <w:lang w:val="zh-TW" w:eastAsia="zh-TW"/>
        </w:rPr>
      </w:pPr>
      <w:r>
        <w:rPr>
          <w:rFonts w:hint="eastAsia" w:eastAsia="宋体"/>
          <w:lang w:val="zh-TW" w:eastAsia="zh-TW"/>
        </w:rPr>
        <w:t>对多个品牌</w:t>
      </w:r>
      <w:r>
        <w:t>/</w:t>
      </w:r>
      <w:r>
        <w:rPr>
          <w:rFonts w:hint="eastAsia" w:eastAsia="宋体"/>
          <w:lang w:val="zh-TW" w:eastAsia="zh-TW"/>
        </w:rPr>
        <w:t>型号</w:t>
      </w:r>
      <w:r>
        <w:rPr>
          <w:rFonts w:hint="eastAsia" w:eastAsia="宋体"/>
          <w:lang w:val="en-US" w:eastAsia="zh-CN"/>
        </w:rPr>
        <w:t>/系列</w:t>
      </w:r>
      <w:r>
        <w:rPr>
          <w:rFonts w:hint="eastAsia" w:eastAsia="宋体"/>
          <w:lang w:val="zh-TW" w:eastAsia="zh-TW"/>
        </w:rPr>
        <w:t>的同类型</w:t>
      </w:r>
      <w:r>
        <w:rPr>
          <w:rFonts w:hint="eastAsia" w:eastAsia="宋体"/>
          <w:lang w:val="en-US" w:eastAsia="zh-CN"/>
        </w:rPr>
        <w:t>产品或服务</w:t>
      </w:r>
      <w:r>
        <w:rPr>
          <w:rFonts w:hint="eastAsia" w:eastAsia="宋体"/>
          <w:lang w:val="zh-TW" w:eastAsia="zh-TW"/>
        </w:rPr>
        <w:t>进行横向比对的测评。</w:t>
      </w:r>
    </w:p>
    <w:p>
      <w:pPr>
        <w:pStyle w:val="22"/>
        <w:keepNext w:val="0"/>
        <w:keepLines w:val="0"/>
        <w:pageBreakBefore w:val="0"/>
        <w:numPr>
          <w:ilvl w:val="1"/>
          <w:numId w:val="2"/>
        </w:numPr>
        <w:kinsoku/>
        <w:wordWrap/>
        <w:overflowPunct/>
        <w:topLinePunct w:val="0"/>
        <w:autoSpaceDE/>
        <w:autoSpaceDN/>
        <w:bidi w:val="0"/>
        <w:adjustRightInd/>
        <w:snapToGrid/>
        <w:spacing w:before="312" w:after="312" w:line="440" w:lineRule="exact"/>
        <w:textAlignment w:val="auto"/>
        <w:rPr>
          <w:sz w:val="20"/>
          <w:szCs w:val="20"/>
          <w:lang w:val="zh-TW" w:eastAsia="zh-TW"/>
        </w:rPr>
      </w:pPr>
      <w:r>
        <w:rPr>
          <w:sz w:val="20"/>
          <w:szCs w:val="20"/>
          <w:lang w:val="zh-TW" w:eastAsia="zh-TW"/>
        </w:rPr>
        <w:t>总则</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互联网测评相关利益方在测评行为活动中，遵循</w:t>
      </w:r>
      <w:r>
        <w:rPr>
          <w:rFonts w:hint="eastAsia"/>
          <w:lang w:val="en-US" w:eastAsia="zh-CN"/>
        </w:rPr>
        <w:t>合规、客观、</w:t>
      </w:r>
      <w:r>
        <w:rPr>
          <w:lang w:val="zh-TW" w:eastAsia="zh-TW"/>
        </w:rPr>
        <w:t>科学、公平、公正、公开、持续改进原则至关重要。</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4.1</w:t>
      </w:r>
      <w:r>
        <w:rPr>
          <w:rFonts w:ascii="黑体" w:hAnsi="黑体" w:eastAsia="黑体" w:cs="黑体"/>
          <w:sz w:val="20"/>
          <w:szCs w:val="20"/>
          <w:lang w:val="zh-TW" w:eastAsia="zh-TW"/>
        </w:rPr>
        <w:t>合规性</w:t>
      </w:r>
    </w:p>
    <w:p>
      <w:pPr>
        <w:pStyle w:val="20"/>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Arial Unicode MS" w:hAnsi="Arial Unicode MS" w:eastAsia="宋体" w:cs="Arial Unicode MS"/>
          <w:sz w:val="21"/>
          <w:szCs w:val="21"/>
          <w:lang w:val="zh-TW" w:eastAsia="zh-TW"/>
        </w:rPr>
      </w:pPr>
      <w:r>
        <w:rPr>
          <w:rFonts w:hint="eastAsia" w:ascii="Arial Unicode MS" w:hAnsi="Arial Unicode MS" w:eastAsia="宋体" w:cs="Arial Unicode MS"/>
          <w:sz w:val="21"/>
          <w:szCs w:val="21"/>
          <w:lang w:val="zh-TW" w:eastAsia="zh-TW"/>
        </w:rPr>
        <w:t>测评应优先选择适用已发布的法律法规或标准方法。</w:t>
      </w:r>
    </w:p>
    <w:p>
      <w:pPr>
        <w:pStyle w:val="20"/>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Arial Unicode MS" w:hAnsi="Arial Unicode MS" w:eastAsia="宋体"/>
          <w:lang w:val="zh-TW" w:eastAsia="zh-TW"/>
        </w:rPr>
      </w:pPr>
      <w:r>
        <w:rPr>
          <w:rFonts w:hint="eastAsia" w:ascii="Arial Unicode MS" w:hAnsi="Arial Unicode MS" w:eastAsia="宋体" w:cs="Arial Unicode MS"/>
          <w:sz w:val="21"/>
          <w:szCs w:val="21"/>
          <w:lang w:val="zh-TW" w:eastAsia="zh-TW"/>
        </w:rPr>
        <w:t>没有法律法规或相关标准参考适用的，应遵循能客观、全面展示商品或服务的基本性能的测评依据和方法。</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4.2</w:t>
      </w:r>
      <w:r>
        <w:rPr>
          <w:rFonts w:hint="eastAsia" w:ascii="黑体" w:hAnsi="黑体" w:eastAsia="黑体" w:cs="黑体"/>
          <w:sz w:val="20"/>
          <w:szCs w:val="20"/>
          <w:lang w:val="en-US" w:eastAsia="zh-CN"/>
        </w:rPr>
        <w:t>诚信原则</w:t>
      </w:r>
    </w:p>
    <w:p>
      <w:pPr>
        <w:pStyle w:val="20"/>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Arial Unicode MS" w:hAnsi="Arial Unicode MS" w:eastAsia="宋体" w:cs="Arial Unicode MS"/>
          <w:sz w:val="21"/>
          <w:szCs w:val="21"/>
          <w:lang w:val="zh-TW" w:eastAsia="zh-TW"/>
        </w:rPr>
      </w:pPr>
      <w:r>
        <w:rPr>
          <w:rFonts w:hint="eastAsia" w:ascii="Arial Unicode MS" w:hAnsi="Arial Unicode MS" w:eastAsia="宋体" w:cs="Arial Unicode MS"/>
          <w:sz w:val="21"/>
          <w:szCs w:val="21"/>
          <w:lang w:val="zh-TW" w:eastAsia="zh-TW"/>
        </w:rPr>
        <w:t>测评主体在测评活动</w:t>
      </w:r>
      <w:r>
        <w:rPr>
          <w:rFonts w:hint="eastAsia" w:cs="Arial Unicode MS"/>
          <w:sz w:val="21"/>
          <w:szCs w:val="21"/>
          <w:lang w:val="en-US" w:eastAsia="zh-CN"/>
        </w:rPr>
        <w:t>的各个环节</w:t>
      </w:r>
      <w:r>
        <w:rPr>
          <w:rFonts w:hint="eastAsia" w:ascii="Arial Unicode MS" w:hAnsi="Arial Unicode MS" w:eastAsia="宋体" w:cs="Arial Unicode MS"/>
          <w:sz w:val="21"/>
          <w:szCs w:val="21"/>
          <w:lang w:val="zh-TW" w:eastAsia="zh-TW"/>
        </w:rPr>
        <w:t>中应当诚实守信，发布的测评结果应当真实、准确、可信。</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4.3</w:t>
      </w:r>
      <w:r>
        <w:rPr>
          <w:rFonts w:ascii="黑体" w:hAnsi="黑体" w:eastAsia="黑体" w:cs="黑体"/>
          <w:sz w:val="20"/>
          <w:szCs w:val="20"/>
          <w:lang w:val="zh-TW" w:eastAsia="zh-TW"/>
        </w:rPr>
        <w:t>科学性</w:t>
      </w:r>
    </w:p>
    <w:p>
      <w:pPr>
        <w:pStyle w:val="20"/>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Arial Unicode MS" w:hAnsi="Arial Unicode MS" w:eastAsia="宋体" w:cs="Arial Unicode MS"/>
          <w:sz w:val="21"/>
          <w:szCs w:val="21"/>
          <w:lang w:val="zh-TW" w:eastAsia="zh-TW"/>
        </w:rPr>
      </w:pPr>
      <w:r>
        <w:rPr>
          <w:rFonts w:hint="eastAsia" w:ascii="Arial Unicode MS" w:hAnsi="Arial Unicode MS" w:eastAsia="宋体" w:cs="Arial Unicode MS"/>
          <w:sz w:val="21"/>
          <w:szCs w:val="21"/>
          <w:lang w:val="zh-TW" w:eastAsia="zh-TW"/>
        </w:rPr>
        <w:t>测评主体宜配备测评工作所需的具有标准技术、检测技术、结果解读等能力资质的专业人员或队伍，测评方向要多元化、多层次、多角度，使测评结果有理有据，客观真实可信。</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eastAsia" w:ascii="黑体" w:hAnsi="黑体" w:eastAsia="黑体" w:cs="黑体"/>
          <w:sz w:val="20"/>
          <w:szCs w:val="20"/>
          <w:lang w:val="en-US" w:eastAsia="zh-CN"/>
        </w:rPr>
      </w:pPr>
      <w:r>
        <w:rPr>
          <w:rFonts w:ascii="黑体" w:hAnsi="黑体" w:eastAsia="黑体" w:cs="黑体"/>
          <w:sz w:val="20"/>
          <w:szCs w:val="20"/>
        </w:rPr>
        <w:t>4.4</w:t>
      </w:r>
      <w:r>
        <w:rPr>
          <w:rFonts w:hint="eastAsia" w:ascii="黑体" w:hAnsi="黑体" w:eastAsia="黑体" w:cs="黑体"/>
          <w:sz w:val="20"/>
          <w:szCs w:val="20"/>
          <w:lang w:val="en-US" w:eastAsia="zh-CN"/>
        </w:rPr>
        <w:t>保密性</w:t>
      </w:r>
    </w:p>
    <w:p>
      <w:pPr>
        <w:pStyle w:val="23"/>
        <w:keepNext w:val="0"/>
        <w:keepLines w:val="0"/>
        <w:pageBreakBefore w:val="0"/>
        <w:kinsoku/>
        <w:wordWrap/>
        <w:overflowPunct/>
        <w:topLinePunct w:val="0"/>
        <w:autoSpaceDE/>
        <w:autoSpaceDN/>
        <w:bidi w:val="0"/>
        <w:adjustRightInd/>
        <w:snapToGrid/>
        <w:spacing w:before="156" w:after="156" w:line="440" w:lineRule="exact"/>
        <w:ind w:left="0" w:firstLine="420" w:firstLineChars="200"/>
        <w:textAlignment w:val="auto"/>
        <w:rPr>
          <w:rFonts w:hint="eastAsia" w:ascii="Arial Unicode MS" w:hAnsi="Arial Unicode MS" w:eastAsia="宋体" w:cs="Arial Unicode MS"/>
          <w:sz w:val="21"/>
          <w:szCs w:val="21"/>
          <w:lang w:val="zh-TW" w:eastAsia="zh-TW"/>
        </w:rPr>
      </w:pPr>
      <w:r>
        <w:rPr>
          <w:rFonts w:hint="eastAsia" w:ascii="Arial Unicode MS" w:hAnsi="Arial Unicode MS" w:eastAsia="宋体" w:cs="Arial Unicode MS"/>
          <w:sz w:val="21"/>
          <w:szCs w:val="21"/>
          <w:lang w:val="zh-TW" w:eastAsia="zh-TW"/>
        </w:rPr>
        <w:t>测评主体及参与测评的工作人员需对测评工作中获得的所有信息承担管理责任，防止信息的非法或非正常泄漏。</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eastAsia" w:ascii="黑体" w:hAnsi="黑体" w:eastAsia="黑体" w:cs="黑体"/>
          <w:sz w:val="20"/>
          <w:szCs w:val="20"/>
          <w:lang w:val="en-US" w:eastAsia="zh-CN"/>
        </w:rPr>
      </w:pPr>
      <w:r>
        <w:rPr>
          <w:rFonts w:hint="eastAsia" w:ascii="黑体" w:hAnsi="黑体" w:eastAsia="黑体" w:cs="黑体"/>
          <w:sz w:val="20"/>
          <w:szCs w:val="20"/>
          <w:lang w:val="en-US" w:eastAsia="zh-CN"/>
        </w:rPr>
        <w:t>4.5公正性</w:t>
      </w:r>
    </w:p>
    <w:p>
      <w:pPr>
        <w:pStyle w:val="23"/>
        <w:keepNext w:val="0"/>
        <w:keepLines w:val="0"/>
        <w:pageBreakBefore w:val="0"/>
        <w:kinsoku/>
        <w:wordWrap/>
        <w:overflowPunct/>
        <w:topLinePunct w:val="0"/>
        <w:autoSpaceDE/>
        <w:autoSpaceDN/>
        <w:bidi w:val="0"/>
        <w:adjustRightInd/>
        <w:snapToGrid/>
        <w:spacing w:before="156" w:after="156" w:line="440" w:lineRule="exact"/>
        <w:ind w:left="0" w:firstLine="420" w:firstLineChars="200"/>
        <w:textAlignment w:val="auto"/>
        <w:rPr>
          <w:rFonts w:hint="eastAsia" w:ascii="Arial Unicode MS" w:hAnsi="Arial Unicode MS" w:eastAsia="宋体" w:cs="Arial Unicode MS"/>
          <w:sz w:val="21"/>
          <w:szCs w:val="21"/>
          <w:lang w:val="zh-TW" w:eastAsia="zh-TW"/>
        </w:rPr>
      </w:pPr>
      <w:r>
        <w:rPr>
          <w:rFonts w:hint="eastAsia" w:ascii="Arial Unicode MS" w:hAnsi="Arial Unicode MS" w:eastAsia="宋体" w:cs="Arial Unicode MS"/>
          <w:sz w:val="21"/>
          <w:szCs w:val="21"/>
          <w:lang w:val="zh-TW" w:eastAsia="zh-TW"/>
        </w:rPr>
        <w:t>测评中需坚持中立性，测评对象的选择、测评项目指标的确定、检验检测方法的选择、检测结果的解读发布等均需客观公正。</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eastAsia" w:ascii="黑体" w:hAnsi="黑体" w:eastAsia="Arial Unicode MS" w:cs="黑体"/>
          <w:sz w:val="20"/>
          <w:szCs w:val="20"/>
          <w:lang w:eastAsia="zh-CN"/>
        </w:rPr>
      </w:pPr>
      <w:r>
        <w:rPr>
          <w:rFonts w:hint="eastAsia" w:ascii="黑体" w:hAnsi="黑体" w:eastAsia="黑体" w:cs="黑体"/>
          <w:sz w:val="20"/>
          <w:szCs w:val="20"/>
          <w:lang w:val="en-US" w:eastAsia="zh-CN"/>
        </w:rPr>
        <w:t>4.6公开性</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eastAsia="宋体"/>
          <w:lang w:val="en-US" w:eastAsia="zh-CN"/>
        </w:rPr>
      </w:pPr>
      <w:r>
        <w:rPr>
          <w:rFonts w:hint="eastAsia"/>
          <w:lang w:val="en-US" w:eastAsia="zh-CN"/>
        </w:rPr>
        <w:t>测评的组织设计、流程把控、信息发布等，均须客观透明，做到规则明晰、过程合规、结果明确。</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4.</w:t>
      </w:r>
      <w:r>
        <w:rPr>
          <w:rFonts w:hint="eastAsia" w:ascii="黑体" w:hAnsi="黑体" w:eastAsia="黑体" w:cs="黑体"/>
          <w:sz w:val="20"/>
          <w:szCs w:val="20"/>
          <w:lang w:val="en-US" w:eastAsia="zh-CN"/>
        </w:rPr>
        <w:t>7</w:t>
      </w:r>
      <w:r>
        <w:rPr>
          <w:rFonts w:ascii="黑体" w:hAnsi="黑体" w:eastAsia="黑体" w:cs="黑体"/>
          <w:sz w:val="20"/>
          <w:szCs w:val="20"/>
          <w:lang w:val="zh-TW" w:eastAsia="zh-TW"/>
        </w:rPr>
        <w:t>持续改进</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互联网测评良好行为结合相关方反馈及需求期望，以及不断发展的法律和标准进行持续改进。</w:t>
      </w:r>
    </w:p>
    <w:p>
      <w:pPr>
        <w:pStyle w:val="22"/>
        <w:keepNext w:val="0"/>
        <w:keepLines w:val="0"/>
        <w:pageBreakBefore w:val="0"/>
        <w:numPr>
          <w:ilvl w:val="1"/>
          <w:numId w:val="1"/>
        </w:numPr>
        <w:kinsoku/>
        <w:wordWrap/>
        <w:overflowPunct/>
        <w:topLinePunct w:val="0"/>
        <w:autoSpaceDE/>
        <w:autoSpaceDN/>
        <w:bidi w:val="0"/>
        <w:adjustRightInd/>
        <w:snapToGrid/>
        <w:spacing w:before="312" w:after="312" w:line="440" w:lineRule="exact"/>
        <w:textAlignment w:val="auto"/>
        <w:rPr>
          <w:lang w:val="zh-TW" w:eastAsia="zh-TW"/>
        </w:rPr>
      </w:pPr>
      <w:r>
        <w:rPr>
          <w:lang w:val="zh-TW" w:eastAsia="zh-TW"/>
        </w:rPr>
        <w:t>要求</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eastAsia" w:ascii="黑体" w:hAnsi="黑体" w:eastAsia="黑体" w:cs="黑体"/>
          <w:sz w:val="20"/>
          <w:szCs w:val="20"/>
          <w:lang w:val="en-US" w:eastAsia="zh-CN"/>
        </w:rPr>
      </w:pPr>
      <w:r>
        <w:rPr>
          <w:rFonts w:ascii="黑体" w:hAnsi="黑体" w:eastAsia="黑体" w:cs="黑体"/>
          <w:sz w:val="20"/>
          <w:szCs w:val="20"/>
        </w:rPr>
        <w:t>5.1</w:t>
      </w:r>
      <w:r>
        <w:rPr>
          <w:rFonts w:ascii="黑体" w:hAnsi="黑体" w:eastAsia="黑体" w:cs="黑体"/>
          <w:sz w:val="20"/>
          <w:szCs w:val="20"/>
          <w:lang w:val="zh-TW" w:eastAsia="zh-TW"/>
        </w:rPr>
        <w:t>测评</w:t>
      </w:r>
      <w:r>
        <w:rPr>
          <w:rFonts w:hint="eastAsia" w:ascii="黑体" w:hAnsi="黑体" w:eastAsia="黑体" w:cs="黑体"/>
          <w:sz w:val="20"/>
          <w:szCs w:val="20"/>
          <w:lang w:val="en-US" w:eastAsia="zh-CN"/>
        </w:rPr>
        <w:t>主体</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default" w:ascii="黑体" w:hAnsi="黑体" w:eastAsia="黑体" w:cs="黑体"/>
          <w:sz w:val="20"/>
          <w:szCs w:val="20"/>
          <w:lang w:val="en-US" w:eastAsia="zh-CN"/>
        </w:rPr>
      </w:pPr>
      <w:r>
        <w:rPr>
          <w:rFonts w:ascii="黑体" w:hAnsi="黑体" w:eastAsia="黑体" w:cs="黑体"/>
          <w:sz w:val="20"/>
          <w:szCs w:val="20"/>
        </w:rPr>
        <w:t>5.1.1</w:t>
      </w:r>
      <w:r>
        <w:rPr>
          <w:rFonts w:hint="eastAsia" w:ascii="黑体" w:hAnsi="黑体" w:eastAsia="黑体" w:cs="黑体"/>
          <w:sz w:val="20"/>
          <w:szCs w:val="20"/>
          <w:lang w:val="en-US" w:eastAsia="zh-CN"/>
        </w:rPr>
        <w:t>测评方法</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eastAsia" w:ascii="黑体" w:hAnsi="黑体" w:eastAsia="黑体" w:cs="黑体"/>
          <w:sz w:val="20"/>
          <w:szCs w:val="20"/>
          <w:lang w:val="en-US" w:eastAsia="zh-CN"/>
        </w:rPr>
      </w:pPr>
      <w:r>
        <w:rPr>
          <w:rFonts w:hint="eastAsia" w:ascii="黑体" w:hAnsi="黑体" w:eastAsia="黑体" w:cs="黑体"/>
          <w:sz w:val="20"/>
          <w:szCs w:val="20"/>
          <w:lang w:val="en-US" w:eastAsia="zh-CN"/>
        </w:rPr>
        <w:t>5.1.1.1标准方法</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Arial Unicode MS" w:hAnsi="Arial Unicode MS" w:eastAsia="宋体" w:cs="Arial Unicode MS"/>
          <w:kern w:val="0"/>
          <w:sz w:val="21"/>
          <w:szCs w:val="21"/>
          <w:lang w:val="zh-TW" w:eastAsia="zh-TW"/>
        </w:rPr>
      </w:pPr>
      <w:r>
        <w:rPr>
          <w:rFonts w:hint="eastAsia" w:ascii="Arial Unicode MS" w:hAnsi="Arial Unicode MS" w:eastAsia="宋体" w:cs="Arial Unicode MS"/>
          <w:kern w:val="0"/>
          <w:sz w:val="21"/>
          <w:szCs w:val="21"/>
          <w:lang w:val="zh-TW" w:eastAsia="zh-TW"/>
        </w:rPr>
        <w:t>依据国家、</w:t>
      </w:r>
      <w:r>
        <w:rPr>
          <w:rFonts w:hint="eastAsia" w:ascii="Arial Unicode MS" w:hAnsi="Arial Unicode MS" w:eastAsia="宋体" w:cs="Arial Unicode MS"/>
          <w:kern w:val="0"/>
          <w:sz w:val="21"/>
          <w:szCs w:val="21"/>
          <w:lang w:val="en-US" w:eastAsia="zh-CN"/>
        </w:rPr>
        <w:t>国际、</w:t>
      </w:r>
      <w:r>
        <w:rPr>
          <w:rFonts w:hint="eastAsia" w:ascii="Arial Unicode MS" w:hAnsi="Arial Unicode MS" w:eastAsia="宋体" w:cs="Arial Unicode MS"/>
          <w:kern w:val="0"/>
          <w:sz w:val="21"/>
          <w:szCs w:val="21"/>
          <w:lang w:val="zh-TW" w:eastAsia="zh-TW"/>
        </w:rPr>
        <w:t>地方、行业或团体已经发布的标准化文件中明确的规范、指标或方法进行科学合理测评。</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default" w:ascii="黑体" w:hAnsi="黑体" w:eastAsia="黑体" w:cs="黑体"/>
          <w:sz w:val="20"/>
          <w:szCs w:val="20"/>
          <w:lang w:val="en-US" w:eastAsia="zh-CN"/>
        </w:rPr>
      </w:pPr>
      <w:r>
        <w:rPr>
          <w:rFonts w:hint="default" w:ascii="黑体" w:hAnsi="黑体" w:eastAsia="黑体" w:cs="黑体"/>
          <w:sz w:val="20"/>
          <w:szCs w:val="20"/>
          <w:lang w:val="en-US" w:eastAsia="zh-CN"/>
        </w:rPr>
        <w:t>5.1.1.2非标准方法</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eastAsia" w:ascii="Arial Unicode MS" w:hAnsi="Arial Unicode MS" w:eastAsia="宋体" w:cs="Arial Unicode MS"/>
          <w:kern w:val="0"/>
          <w:sz w:val="21"/>
          <w:szCs w:val="21"/>
          <w:lang w:val="zh-TW" w:eastAsia="zh-TW"/>
        </w:rPr>
      </w:pPr>
      <w:r>
        <w:rPr>
          <w:rFonts w:hint="eastAsia" w:ascii="Arial Unicode MS" w:hAnsi="Arial Unicode MS" w:eastAsia="宋体" w:cs="Arial Unicode MS"/>
          <w:kern w:val="0"/>
          <w:sz w:val="21"/>
          <w:szCs w:val="21"/>
          <w:lang w:val="zh-TW" w:eastAsia="zh-TW"/>
        </w:rPr>
        <w:t>一般有以下几种：基于标准方法及指标，稍作改进类推适用的方法；知名技术组织或期刊文献发表的方法；</w:t>
      </w:r>
      <w:r>
        <w:rPr>
          <w:rFonts w:hint="eastAsia" w:ascii="Arial Unicode MS" w:hAnsi="Arial Unicode MS" w:eastAsia="宋体" w:cs="Arial Unicode MS"/>
          <w:kern w:val="0"/>
          <w:sz w:val="21"/>
          <w:szCs w:val="21"/>
          <w:lang w:val="en-US" w:eastAsia="zh-CN"/>
        </w:rPr>
        <w:t>其他</w:t>
      </w:r>
      <w:r>
        <w:rPr>
          <w:rFonts w:hint="eastAsia" w:ascii="Arial Unicode MS" w:hAnsi="Arial Unicode MS" w:eastAsia="宋体" w:cs="Arial Unicode MS"/>
          <w:kern w:val="0"/>
          <w:sz w:val="21"/>
          <w:szCs w:val="21"/>
          <w:lang w:val="zh-TW" w:eastAsia="zh-TW"/>
        </w:rPr>
        <w:t>能够全面反映商品或服务的功能性能或使用感受的方法等。</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auto"/>
        <w:rPr>
          <w:rFonts w:hint="default" w:ascii="Arial Unicode MS" w:hAnsi="Arial Unicode MS" w:eastAsia="宋体" w:cs="Arial Unicode MS"/>
          <w:kern w:val="0"/>
          <w:sz w:val="21"/>
          <w:szCs w:val="21"/>
          <w:lang w:val="en-US" w:eastAsia="zh-CN"/>
        </w:rPr>
      </w:pPr>
      <w:r>
        <w:rPr>
          <w:rFonts w:hint="eastAsia" w:ascii="Arial Unicode MS" w:hAnsi="Arial Unicode MS" w:eastAsia="宋体" w:cs="Arial Unicode MS"/>
          <w:kern w:val="0"/>
          <w:sz w:val="21"/>
          <w:szCs w:val="21"/>
          <w:lang w:val="en-US" w:eastAsia="zh-CN"/>
        </w:rPr>
        <w:t>非标准方法应在测评报告中予以明示。且宜通过案例应用或情景演绎等形式进行通俗易懂的解释说明。</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default" w:ascii="黑体" w:hAnsi="黑体" w:eastAsia="黑体" w:cs="黑体"/>
          <w:sz w:val="20"/>
          <w:szCs w:val="20"/>
          <w:lang w:val="en-US"/>
        </w:rPr>
      </w:pPr>
      <w:r>
        <w:rPr>
          <w:rFonts w:ascii="黑体" w:hAnsi="黑体" w:eastAsia="黑体" w:cs="黑体"/>
          <w:sz w:val="20"/>
          <w:szCs w:val="20"/>
        </w:rPr>
        <w:t>5.1.</w:t>
      </w:r>
      <w:r>
        <w:rPr>
          <w:rFonts w:hint="eastAsia" w:ascii="黑体" w:hAnsi="黑体" w:eastAsia="黑体" w:cs="黑体"/>
          <w:sz w:val="20"/>
          <w:szCs w:val="20"/>
          <w:lang w:val="en-US" w:eastAsia="zh-CN"/>
        </w:rPr>
        <w:t>2 基本要求</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5.1.</w:t>
      </w:r>
      <w:r>
        <w:rPr>
          <w:rFonts w:hint="eastAsia" w:ascii="黑体" w:hAnsi="黑体" w:eastAsia="黑体" w:cs="黑体"/>
          <w:sz w:val="20"/>
          <w:szCs w:val="20"/>
          <w:lang w:val="en-US" w:eastAsia="zh-CN"/>
        </w:rPr>
        <w:t>2</w:t>
      </w:r>
      <w:r>
        <w:rPr>
          <w:rFonts w:hint="default" w:ascii="黑体" w:hAnsi="黑体" w:eastAsia="黑体" w:cs="黑体"/>
          <w:sz w:val="20"/>
          <w:szCs w:val="20"/>
          <w:lang w:val="en-US" w:eastAsia="zh-CN"/>
        </w:rPr>
        <w:t>.1</w:t>
      </w:r>
      <w:r>
        <w:rPr>
          <w:rFonts w:ascii="黑体" w:hAnsi="黑体" w:eastAsia="黑体" w:cs="黑体"/>
          <w:sz w:val="20"/>
          <w:szCs w:val="20"/>
          <w:lang w:val="zh-TW" w:eastAsia="zh-TW"/>
        </w:rPr>
        <w:t>质量良好</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从事互联网测评的机构或个人应建立测评方法或标准依据。测评方法或标准宜优先选择</w:t>
      </w:r>
      <w:r>
        <w:rPr>
          <w:rFonts w:hint="eastAsia"/>
          <w:lang w:val="en-US" w:eastAsia="zh-CN"/>
        </w:rPr>
        <w:t>相关国家强制标准</w:t>
      </w:r>
      <w:r>
        <w:rPr>
          <w:lang w:val="zh-TW" w:eastAsia="zh-TW"/>
        </w:rPr>
        <w:t>。开展符合性测评应按照产品</w:t>
      </w:r>
      <w:r>
        <w:rPr>
          <w:rFonts w:hint="eastAsia"/>
          <w:lang w:val="en-US" w:eastAsia="zh-CN"/>
        </w:rPr>
        <w:t>或服务</w:t>
      </w:r>
      <w:r>
        <w:rPr>
          <w:lang w:val="zh-TW" w:eastAsia="zh-TW"/>
        </w:rPr>
        <w:t>声明的标准方法开展。</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应按照测评方法或标准实施测评。建立测评数据库，如实、准确、完整、清晰记录测评过程，以备日后查阅或核对。</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lang w:val="zh-TW" w:eastAsia="zh-TW"/>
        </w:rPr>
        <w:t>测评过程中使用的相关检测工具、仪器设备应适用于测评对象，并符合相关国家标准、相关方法、规范要求。</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eastAsia="宋体"/>
          <w:lang w:val="en-US" w:eastAsia="zh-CN"/>
        </w:rPr>
      </w:pPr>
      <w:r>
        <w:rPr>
          <w:rFonts w:hint="eastAsia"/>
          <w:lang w:val="en-US" w:eastAsia="zh-CN"/>
        </w:rPr>
        <w:t>测评主体以直播形式开展测评活动的也应遵守相关要求。</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eastAsia="宋体"/>
          <w:lang w:val="en-US" w:eastAsia="zh-CN"/>
        </w:rPr>
      </w:pPr>
      <w:r>
        <w:rPr>
          <w:lang w:val="zh-TW" w:eastAsia="zh-TW"/>
        </w:rPr>
        <w:t>委托测评应以产品</w:t>
      </w:r>
      <w:r>
        <w:rPr>
          <w:rFonts w:hint="eastAsia"/>
          <w:lang w:val="en-US" w:eastAsia="zh-CN"/>
        </w:rPr>
        <w:t>或服务</w:t>
      </w:r>
      <w:r>
        <w:rPr>
          <w:lang w:val="zh-TW" w:eastAsia="zh-TW"/>
        </w:rPr>
        <w:t>声明指标验证为主。涉及专业性较强的测评领域，宜与专业性第三方检测机构合作。宜优先选择获</w:t>
      </w:r>
      <w:r>
        <w:rPr>
          <w:rFonts w:hint="default" w:ascii="Times New Roman Regular" w:hAnsi="Times New Roman Regular" w:cs="Times New Roman Regular"/>
          <w:lang w:val="zh-TW" w:eastAsia="zh-TW"/>
        </w:rPr>
        <w:t>CMA或CNAS</w:t>
      </w:r>
      <w:r>
        <w:rPr>
          <w:lang w:val="zh-TW" w:eastAsia="zh-TW"/>
        </w:rPr>
        <w:t>认可的检验检测机构。</w:t>
      </w:r>
      <w:r>
        <w:rPr>
          <w:rFonts w:hint="eastAsia"/>
          <w:lang w:val="en-US" w:eastAsia="zh-CN"/>
        </w:rPr>
        <w:t>横向测评服务接受委托测评时应当进行标识。</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5.1.</w:t>
      </w:r>
      <w:r>
        <w:rPr>
          <w:rFonts w:hint="default" w:ascii="黑体" w:hAnsi="黑体" w:eastAsia="黑体" w:cs="黑体"/>
          <w:sz w:val="20"/>
          <w:szCs w:val="20"/>
          <w:lang w:val="en-US"/>
        </w:rPr>
        <w:t>2</w:t>
      </w:r>
      <w:r>
        <w:rPr>
          <w:rFonts w:hint="default" w:ascii="黑体" w:hAnsi="黑体" w:eastAsia="黑体" w:cs="黑体"/>
          <w:sz w:val="20"/>
          <w:szCs w:val="20"/>
          <w:lang w:val="en-US" w:eastAsia="zh-CN"/>
        </w:rPr>
        <w:t>.2</w:t>
      </w:r>
      <w:r>
        <w:rPr>
          <w:rFonts w:ascii="黑体" w:hAnsi="黑体" w:eastAsia="黑体" w:cs="黑体"/>
          <w:sz w:val="20"/>
          <w:szCs w:val="20"/>
        </w:rPr>
        <w:t xml:space="preserve"> </w:t>
      </w:r>
      <w:r>
        <w:rPr>
          <w:rFonts w:ascii="黑体" w:hAnsi="黑体" w:eastAsia="黑体" w:cs="黑体"/>
          <w:sz w:val="20"/>
          <w:szCs w:val="20"/>
          <w:lang w:val="zh-TW" w:eastAsia="zh-TW"/>
        </w:rPr>
        <w:t>诚信良好</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lang w:val="zh-TW" w:eastAsia="zh-TW"/>
        </w:rPr>
        <w:t>测评机构或个人应实事求是、测与评相结合，拒绝虚假测评、</w:t>
      </w:r>
      <w:r>
        <w:rPr>
          <w:rFonts w:hint="default" w:ascii="宋体" w:hAnsi="宋体"/>
        </w:rPr>
        <w:t>“</w:t>
      </w:r>
      <w:r>
        <w:rPr>
          <w:lang w:val="zh-TW" w:eastAsia="zh-TW"/>
        </w:rPr>
        <w:t>未测先评</w:t>
      </w:r>
      <w:r>
        <w:rPr>
          <w:rFonts w:hint="default" w:ascii="宋体" w:hAnsi="宋体"/>
        </w:rPr>
        <w:t>”</w:t>
      </w:r>
      <w:r>
        <w:rPr>
          <w:lang w:val="zh-TW" w:eastAsia="zh-TW"/>
        </w:rPr>
        <w:t>。</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应以企业标准自我声明方式公开测评方法标准。</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开展委托测评的，应明确声明为委托测评。</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测评内容中植入广告</w:t>
      </w:r>
      <w:r>
        <w:rPr>
          <w:rFonts w:hint="eastAsia"/>
          <w:lang w:val="en-US" w:eastAsia="zh-CN"/>
        </w:rPr>
        <w:t>且</w:t>
      </w:r>
      <w:r>
        <w:rPr>
          <w:lang w:val="zh-TW" w:eastAsia="zh-TW"/>
        </w:rPr>
        <w:t>品牌露出的，应在显著位置明确标识。</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lang w:val="zh-TW" w:eastAsia="zh-TW"/>
        </w:rPr>
        <w:t>以主观感受为主要测评指标的，应声明为个人主观感受。</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eastAsia" w:eastAsia="宋体"/>
          <w:lang w:val="zh-TW" w:eastAsia="zh-CN"/>
        </w:rPr>
      </w:pPr>
      <w:r>
        <w:rPr>
          <w:rFonts w:hint="default"/>
          <w:lang w:val="zh-TW" w:eastAsia="zh-TW"/>
        </w:rPr>
        <w:t>评价产品</w:t>
      </w:r>
      <w:r>
        <w:rPr>
          <w:rFonts w:hint="eastAsia"/>
          <w:lang w:val="en-US" w:eastAsia="zh-CN"/>
        </w:rPr>
        <w:t>或服务</w:t>
      </w:r>
      <w:r>
        <w:rPr>
          <w:rFonts w:hint="default"/>
          <w:lang w:val="zh-TW" w:eastAsia="zh-TW"/>
        </w:rPr>
        <w:t>时，</w:t>
      </w:r>
      <w:r>
        <w:rPr>
          <w:rFonts w:hint="eastAsia"/>
          <w:lang w:val="en-US" w:eastAsia="zh-CN"/>
        </w:rPr>
        <w:t>测评内容</w:t>
      </w:r>
      <w:r>
        <w:rPr>
          <w:rFonts w:hint="default"/>
          <w:lang w:val="zh-TW" w:eastAsia="zh-TW"/>
        </w:rPr>
        <w:t>不应超出</w:t>
      </w:r>
      <w:r>
        <w:rPr>
          <w:rFonts w:hint="eastAsia"/>
          <w:lang w:val="en-US" w:eastAsia="zh-CN"/>
        </w:rPr>
        <w:t>其</w:t>
      </w:r>
      <w:r>
        <w:rPr>
          <w:rFonts w:hint="default"/>
          <w:lang w:val="zh-TW" w:eastAsia="zh-TW"/>
        </w:rPr>
        <w:t>宣称范畴</w:t>
      </w:r>
      <w:r>
        <w:rPr>
          <w:rFonts w:hint="eastAsia"/>
          <w:lang w:val="zh-TW" w:eastAsia="zh-CN"/>
        </w:rPr>
        <w:t>。</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eastAsia" w:eastAsia="宋体"/>
          <w:lang w:val="zh-TW" w:eastAsia="zh-CN"/>
        </w:rPr>
      </w:pPr>
      <w:r>
        <w:rPr>
          <w:lang w:val="zh-TW" w:eastAsia="zh-TW"/>
        </w:rPr>
        <w:t>开展横向测评，测评对象品牌选择应具有代表性、广泛性和客观性，不宜刻意引导产生诱导性结论。</w:t>
      </w:r>
      <w:r>
        <w:rPr>
          <w:rFonts w:hint="eastAsia"/>
          <w:lang w:val="zh-TW" w:eastAsia="zh-TW"/>
        </w:rPr>
        <w:t>测评</w:t>
      </w:r>
      <w:r>
        <w:rPr>
          <w:rFonts w:hint="eastAsia"/>
          <w:lang w:val="en-US" w:eastAsia="zh-CN"/>
        </w:rPr>
        <w:t>主体</w:t>
      </w:r>
      <w:r>
        <w:rPr>
          <w:rFonts w:hint="eastAsia"/>
          <w:lang w:val="zh-TW" w:eastAsia="zh-TW"/>
        </w:rPr>
        <w:t>可以只从消费者角度进行评判，而不下定义“合格”或“不合格”</w:t>
      </w:r>
      <w:r>
        <w:rPr>
          <w:rFonts w:hint="eastAsia"/>
          <w:lang w:val="zh-TW" w:eastAsia="zh-CN"/>
        </w:rPr>
        <w:t>。</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5.1.</w:t>
      </w:r>
      <w:r>
        <w:rPr>
          <w:rFonts w:hint="default" w:ascii="黑体" w:hAnsi="黑体" w:eastAsia="黑体" w:cs="黑体"/>
          <w:sz w:val="20"/>
          <w:szCs w:val="20"/>
          <w:lang w:val="en-US"/>
        </w:rPr>
        <w:t>2.3</w:t>
      </w:r>
      <w:r>
        <w:rPr>
          <w:rFonts w:ascii="黑体" w:hAnsi="黑体" w:eastAsia="黑体" w:cs="黑体"/>
          <w:sz w:val="20"/>
          <w:szCs w:val="20"/>
        </w:rPr>
        <w:t xml:space="preserve"> </w:t>
      </w:r>
      <w:r>
        <w:rPr>
          <w:rFonts w:ascii="黑体" w:hAnsi="黑体" w:eastAsia="黑体" w:cs="黑体"/>
          <w:sz w:val="20"/>
          <w:szCs w:val="20"/>
          <w:lang w:val="zh-TW" w:eastAsia="zh-TW"/>
        </w:rPr>
        <w:t>表述良好</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测评结论的表述应科学、中立、客观。</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测评结论应清晰展示测评视角、方法逻辑、操作流程和测评结果</w:t>
      </w:r>
      <w:r>
        <w:rPr>
          <w:rFonts w:hint="eastAsia"/>
          <w:lang w:val="zh-TW" w:eastAsia="zh-CN"/>
        </w:rPr>
        <w:t>，</w:t>
      </w:r>
      <w:r>
        <w:rPr>
          <w:rFonts w:hint="eastAsia"/>
          <w:lang w:val="en-US" w:eastAsia="zh-CN"/>
        </w:rPr>
        <w:t>并经专业人士审核</w:t>
      </w:r>
      <w:r>
        <w:rPr>
          <w:lang w:val="zh-TW" w:eastAsia="zh-TW"/>
        </w:rPr>
        <w:t>。</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开展横向测评的，宜客观陈述指标或数据差异，不</w:t>
      </w:r>
      <w:r>
        <w:rPr>
          <w:rFonts w:hint="eastAsia"/>
          <w:lang w:val="en-US" w:eastAsia="zh-CN"/>
        </w:rPr>
        <w:t>超出测评指标范围</w:t>
      </w:r>
      <w:r>
        <w:rPr>
          <w:lang w:val="zh-TW" w:eastAsia="zh-TW"/>
        </w:rPr>
        <w:t>做延伸性比较结论</w:t>
      </w:r>
      <w:r>
        <w:rPr>
          <w:rFonts w:hint="eastAsia"/>
          <w:lang w:val="zh-TW" w:eastAsia="zh-CN"/>
        </w:rPr>
        <w:t>，</w:t>
      </w:r>
      <w:r>
        <w:rPr>
          <w:rFonts w:hint="eastAsia"/>
          <w:lang w:val="en-US" w:eastAsia="zh-CN"/>
        </w:rPr>
        <w:t>不恶意贬损品牌形象</w:t>
      </w:r>
      <w:r>
        <w:rPr>
          <w:lang w:val="zh-TW" w:eastAsia="zh-TW"/>
        </w:rPr>
        <w:t>。</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开展委托测评的，应清晰展示委托测评内容的符合性情况，避免使用营销语言</w:t>
      </w:r>
      <w:r>
        <w:rPr>
          <w:rFonts w:hint="eastAsia"/>
          <w:lang w:eastAsia="zh-CN"/>
        </w:rPr>
        <w:t>，</w:t>
      </w:r>
      <w:r>
        <w:rPr>
          <w:rFonts w:hint="eastAsia"/>
          <w:lang w:val="en-US" w:eastAsia="zh-CN"/>
        </w:rPr>
        <w:t>夸大功效</w:t>
      </w:r>
      <w:r>
        <w:rPr>
          <w:lang w:val="zh-TW" w:eastAsia="zh-TW"/>
        </w:rPr>
        <w:t>。</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lang w:val="zh-TW" w:eastAsia="zh-TW"/>
        </w:rPr>
        <w:t>使用专业机构报告的，应明确标识出处。</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eastAsia" w:ascii="黑体" w:hAnsi="黑体" w:eastAsia="黑体" w:cs="黑体"/>
          <w:sz w:val="20"/>
          <w:szCs w:val="20"/>
          <w:lang w:eastAsia="zh-CN"/>
        </w:rPr>
      </w:pPr>
      <w:r>
        <w:rPr>
          <w:rFonts w:ascii="黑体" w:hAnsi="黑体" w:eastAsia="黑体" w:cs="黑体"/>
          <w:sz w:val="20"/>
          <w:szCs w:val="20"/>
        </w:rPr>
        <w:t>5.1.</w:t>
      </w:r>
      <w:r>
        <w:rPr>
          <w:rFonts w:hint="default" w:ascii="黑体" w:hAnsi="黑体" w:eastAsia="黑体" w:cs="黑体"/>
          <w:sz w:val="20"/>
          <w:szCs w:val="20"/>
          <w:lang w:val="en-US"/>
        </w:rPr>
        <w:t>3</w:t>
      </w:r>
      <w:r>
        <w:rPr>
          <w:rFonts w:ascii="黑体" w:hAnsi="黑体" w:eastAsia="黑体" w:cs="黑体"/>
          <w:sz w:val="20"/>
          <w:szCs w:val="20"/>
        </w:rPr>
        <w:t xml:space="preserve"> </w:t>
      </w:r>
      <w:r>
        <w:rPr>
          <w:rFonts w:hint="eastAsia" w:ascii="黑体" w:hAnsi="黑体" w:eastAsia="黑体" w:cs="黑体"/>
          <w:sz w:val="20"/>
          <w:szCs w:val="20"/>
          <w:lang w:val="en-US" w:eastAsia="zh-CN"/>
        </w:rPr>
        <w:t>规范程序</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default" w:ascii="黑体" w:hAnsi="黑体" w:eastAsia="黑体" w:cs="黑体"/>
          <w:sz w:val="20"/>
          <w:szCs w:val="20"/>
          <w:lang w:val="en-US" w:eastAsia="zh-CN"/>
        </w:rPr>
      </w:pPr>
      <w:r>
        <w:rPr>
          <w:rFonts w:hint="eastAsia" w:ascii="黑体" w:hAnsi="黑体" w:eastAsia="黑体" w:cs="黑体"/>
          <w:sz w:val="20"/>
          <w:szCs w:val="20"/>
          <w:lang w:val="en-US" w:eastAsia="zh-CN"/>
        </w:rPr>
        <w:t>5.1.5.1商品类测评程序</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zh-TW" w:eastAsia="zh-TW"/>
        </w:rPr>
        <w:t>测评对象确定后，测评</w:t>
      </w:r>
      <w:r>
        <w:rPr>
          <w:rFonts w:hint="eastAsia" w:ascii="Arial Unicode MS" w:hAnsi="Arial Unicode MS" w:eastAsia="宋体"/>
          <w:color w:val="000000"/>
          <w:kern w:val="0"/>
          <w:sz w:val="21"/>
          <w:szCs w:val="21"/>
          <w:lang w:val="en-US" w:eastAsia="zh-CN"/>
        </w:rPr>
        <w:t>主体</w:t>
      </w:r>
      <w:r>
        <w:rPr>
          <w:rFonts w:hint="eastAsia" w:ascii="Arial Unicode MS" w:hAnsi="Arial Unicode MS" w:eastAsia="宋体"/>
          <w:color w:val="000000"/>
          <w:kern w:val="0"/>
          <w:sz w:val="21"/>
          <w:szCs w:val="21"/>
          <w:lang w:val="zh-TW" w:eastAsia="zh-TW"/>
        </w:rPr>
        <w:t>应开展背景调研，采用包括但不限于资料收集、数据分析等方法，着重了解</w:t>
      </w:r>
      <w:r>
        <w:rPr>
          <w:rFonts w:hint="eastAsia" w:ascii="Arial Unicode MS" w:hAnsi="Arial Unicode MS" w:eastAsia="宋体"/>
          <w:color w:val="000000"/>
          <w:kern w:val="0"/>
          <w:sz w:val="21"/>
          <w:szCs w:val="21"/>
          <w:lang w:val="en-US" w:eastAsia="zh-CN"/>
        </w:rPr>
        <w:t>相关产品</w:t>
      </w:r>
      <w:r>
        <w:rPr>
          <w:rFonts w:hint="eastAsia" w:ascii="Arial Unicode MS" w:hAnsi="Arial Unicode MS" w:eastAsia="宋体"/>
          <w:color w:val="000000"/>
          <w:kern w:val="0"/>
          <w:sz w:val="21"/>
          <w:szCs w:val="21"/>
          <w:lang w:val="zh-TW" w:eastAsia="zh-TW"/>
        </w:rPr>
        <w:t>的消费问题、市场现状、标准制定及落实情况等，综合考虑消费者需求、测评对象的特性以及影响消费者体验因素等，形成测评方案、确定测评指标。</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宋体" w:hAnsi="宋体"/>
          <w:color w:val="000000"/>
          <w:sz w:val="21"/>
          <w:szCs w:val="24"/>
        </w:rPr>
      </w:pPr>
      <w:r>
        <w:rPr>
          <w:rFonts w:hint="eastAsia" w:ascii="Arial Unicode MS" w:hAnsi="Arial Unicode MS" w:eastAsia="宋体"/>
          <w:color w:val="000000"/>
          <w:kern w:val="0"/>
          <w:sz w:val="21"/>
          <w:szCs w:val="21"/>
          <w:lang w:val="zh-TW" w:eastAsia="zh-TW"/>
        </w:rPr>
        <w:t>测评样品的采购获取应当具有多元性</w:t>
      </w:r>
      <w:r>
        <w:rPr>
          <w:rFonts w:hint="eastAsia" w:ascii="Arial Unicode MS" w:hAnsi="Arial Unicode MS" w:eastAsia="宋体"/>
          <w:color w:val="000000"/>
          <w:kern w:val="0"/>
          <w:sz w:val="21"/>
          <w:szCs w:val="21"/>
          <w:lang w:val="zh-TW" w:eastAsia="zh-CN"/>
        </w:rPr>
        <w:t>、</w:t>
      </w:r>
      <w:r>
        <w:rPr>
          <w:rFonts w:hint="eastAsia" w:ascii="Arial Unicode MS" w:hAnsi="Arial Unicode MS" w:eastAsia="宋体"/>
          <w:color w:val="000000"/>
          <w:kern w:val="0"/>
          <w:sz w:val="21"/>
          <w:szCs w:val="21"/>
          <w:lang w:val="zh-TW" w:eastAsia="zh-TW"/>
        </w:rPr>
        <w:t>广泛性</w:t>
      </w:r>
      <w:r>
        <w:rPr>
          <w:rFonts w:hint="eastAsia" w:ascii="Arial Unicode MS" w:hAnsi="Arial Unicode MS" w:eastAsia="宋体"/>
          <w:color w:val="000000"/>
          <w:kern w:val="0"/>
          <w:sz w:val="21"/>
          <w:szCs w:val="21"/>
          <w:lang w:val="en-US" w:eastAsia="zh-CN"/>
        </w:rPr>
        <w:t>和真实性</w:t>
      </w:r>
      <w:r>
        <w:rPr>
          <w:rFonts w:hint="eastAsia" w:ascii="Arial Unicode MS" w:hAnsi="Arial Unicode MS" w:eastAsia="宋体"/>
          <w:color w:val="000000"/>
          <w:kern w:val="0"/>
          <w:sz w:val="21"/>
          <w:szCs w:val="21"/>
          <w:lang w:val="zh-TW" w:eastAsia="zh-TW"/>
        </w:rPr>
        <w:t>，可以通过线上电商平台、线下实体商店、省内采购、省外采购等</w:t>
      </w:r>
      <w:r>
        <w:rPr>
          <w:rFonts w:hint="eastAsia" w:ascii="Arial Unicode MS" w:hAnsi="Arial Unicode MS" w:eastAsia="宋体"/>
          <w:color w:val="000000"/>
          <w:kern w:val="0"/>
          <w:sz w:val="21"/>
          <w:szCs w:val="21"/>
          <w:lang w:val="en-US" w:eastAsia="zh-CN"/>
        </w:rPr>
        <w:t>官方</w:t>
      </w:r>
      <w:r>
        <w:rPr>
          <w:rFonts w:hint="eastAsia" w:ascii="Arial Unicode MS" w:hAnsi="Arial Unicode MS" w:eastAsia="宋体"/>
          <w:color w:val="000000"/>
          <w:kern w:val="0"/>
          <w:sz w:val="21"/>
          <w:szCs w:val="21"/>
          <w:lang w:val="zh-TW" w:eastAsia="zh-TW"/>
        </w:rPr>
        <w:t>渠道购买。测评样品应是社会一般消费者能够在市场购买的消费品，不应是企业提供的测试特供样品，避免样品和市场销售的产品存在差异。若涉及商品或服务质量合格与否等结果性判定，应当移送至具备国家检验检测资质的机构进行检测并出具报告。</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en-US" w:eastAsia="zh-CN"/>
        </w:rPr>
        <w:t>宜</w:t>
      </w:r>
      <w:r>
        <w:rPr>
          <w:rFonts w:hint="eastAsia" w:ascii="Arial Unicode MS" w:hAnsi="Arial Unicode MS" w:eastAsia="宋体"/>
          <w:color w:val="000000"/>
          <w:kern w:val="0"/>
          <w:sz w:val="21"/>
          <w:szCs w:val="21"/>
          <w:lang w:val="zh-TW" w:eastAsia="zh-TW"/>
        </w:rPr>
        <w:t>按照测评方案开展测评。测评关键步骤需采用拍照、录像等形式进行记录，对容易引起争议以及结果难以复现的重要测评过程，应能提供必要的测评实施过程图片、视频等证明资料。测评工作宜建立测评样品处理制度，测评</w:t>
      </w:r>
      <w:r>
        <w:rPr>
          <w:rFonts w:hint="eastAsia" w:ascii="Arial Unicode MS" w:hAnsi="Arial Unicode MS" w:eastAsia="宋体"/>
          <w:color w:val="000000"/>
          <w:kern w:val="0"/>
          <w:sz w:val="21"/>
          <w:szCs w:val="21"/>
          <w:lang w:val="en-US" w:eastAsia="zh-CN"/>
        </w:rPr>
        <w:t>主体应当根据测评样品的材质和性能、储存空间的容量、测评过程的损耗程度等因素，妥善保存</w:t>
      </w:r>
      <w:r>
        <w:rPr>
          <w:rFonts w:hint="default" w:ascii="Times New Roman Regular" w:hAnsi="Times New Roman Regular" w:eastAsia="宋体" w:cs="Times New Roman Regular"/>
          <w:color w:val="000000"/>
          <w:kern w:val="0"/>
          <w:sz w:val="21"/>
          <w:szCs w:val="21"/>
          <w:lang w:val="zh-TW" w:eastAsia="zh-TW"/>
        </w:rPr>
        <w:t>3</w:t>
      </w:r>
      <w:r>
        <w:rPr>
          <w:rFonts w:hint="eastAsia" w:ascii="Times New Roman Regular" w:hAnsi="Times New Roman Regular" w:eastAsia="宋体" w:cs="Times New Roman Regular"/>
          <w:color w:val="000000"/>
          <w:kern w:val="0"/>
          <w:sz w:val="21"/>
          <w:szCs w:val="21"/>
          <w:lang w:val="zh-TW" w:eastAsia="zh-CN"/>
        </w:rPr>
        <w:t>—</w:t>
      </w:r>
      <w:r>
        <w:rPr>
          <w:rFonts w:hint="default" w:ascii="Times New Roman Regular" w:hAnsi="Times New Roman Regular" w:eastAsia="宋体" w:cs="Times New Roman Regular"/>
          <w:color w:val="000000"/>
          <w:kern w:val="0"/>
          <w:sz w:val="21"/>
          <w:szCs w:val="21"/>
          <w:lang w:val="zh-TW" w:eastAsia="zh-TW"/>
        </w:rPr>
        <w:t>6个月</w:t>
      </w:r>
      <w:r>
        <w:rPr>
          <w:rFonts w:hint="eastAsia" w:ascii="Times New Roman Regular" w:hAnsi="Times New Roman Regular" w:eastAsia="宋体" w:cs="Times New Roman Regular"/>
          <w:color w:val="000000"/>
          <w:kern w:val="0"/>
          <w:sz w:val="21"/>
          <w:szCs w:val="21"/>
          <w:lang w:val="en-US" w:eastAsia="zh-CN"/>
        </w:rPr>
        <w:t>或以上</w:t>
      </w:r>
      <w:r>
        <w:rPr>
          <w:rFonts w:hint="eastAsia" w:ascii="Arial Unicode MS" w:hAnsi="Arial Unicode MS" w:eastAsia="宋体"/>
          <w:color w:val="000000"/>
          <w:kern w:val="0"/>
          <w:sz w:val="21"/>
          <w:szCs w:val="21"/>
          <w:lang w:val="zh-TW" w:eastAsia="zh-TW"/>
        </w:rPr>
        <w:t>；若测评样品剩余保质期不足</w:t>
      </w:r>
      <w:r>
        <w:rPr>
          <w:rFonts w:hint="eastAsia" w:ascii="Times New Roman Regular" w:hAnsi="Times New Roman Regular" w:eastAsia="宋体" w:cs="Times New Roman Regular"/>
          <w:color w:val="000000"/>
          <w:kern w:val="0"/>
          <w:sz w:val="21"/>
          <w:szCs w:val="21"/>
          <w:lang w:val="en-US" w:eastAsia="zh-CN"/>
        </w:rPr>
        <w:t>保存期限</w:t>
      </w:r>
      <w:r>
        <w:rPr>
          <w:rFonts w:hint="eastAsia" w:ascii="Arial Unicode MS" w:hAnsi="Arial Unicode MS" w:eastAsia="宋体"/>
          <w:color w:val="000000"/>
          <w:kern w:val="0"/>
          <w:sz w:val="21"/>
          <w:szCs w:val="21"/>
          <w:lang w:val="zh-TW" w:eastAsia="zh-TW"/>
        </w:rPr>
        <w:t>，则保存至其保质期结束。</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zh-TW" w:eastAsia="zh-TW"/>
        </w:rPr>
        <w:t>测评报告宜采用正确合理的方式以及消费者易于理解的术语，准确、客观地表达测评结果。测评报告一般包括以下内容：测评样品相关信息、测评指标的检测方法和结果、测评指标的评价方法和结论分析、能够满足消费者选购需求的其他信息。</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zh-TW" w:eastAsia="zh-TW"/>
        </w:rPr>
        <w:t>测评报告公开发布的渠道包括但不限于：测评</w:t>
      </w:r>
      <w:r>
        <w:rPr>
          <w:rFonts w:hint="eastAsia" w:ascii="Arial Unicode MS" w:hAnsi="Arial Unicode MS" w:eastAsia="宋体"/>
          <w:color w:val="000000"/>
          <w:kern w:val="0"/>
          <w:sz w:val="21"/>
          <w:szCs w:val="21"/>
          <w:lang w:val="en-US" w:eastAsia="zh-CN"/>
        </w:rPr>
        <w:t>主体</w:t>
      </w:r>
      <w:r>
        <w:rPr>
          <w:rFonts w:hint="eastAsia" w:ascii="Arial Unicode MS" w:hAnsi="Arial Unicode MS" w:eastAsia="宋体"/>
          <w:color w:val="000000"/>
          <w:kern w:val="0"/>
          <w:sz w:val="21"/>
          <w:szCs w:val="21"/>
          <w:lang w:val="zh-TW" w:eastAsia="zh-TW"/>
        </w:rPr>
        <w:t>官方网站；传统媒体，包括报刊、杂志等</w:t>
      </w:r>
      <w:r>
        <w:rPr>
          <w:rFonts w:hint="eastAsia" w:ascii="Arial Unicode MS" w:hAnsi="Arial Unicode MS" w:eastAsia="宋体"/>
          <w:color w:val="000000"/>
          <w:kern w:val="0"/>
          <w:sz w:val="21"/>
          <w:szCs w:val="21"/>
          <w:lang w:val="zh-TW" w:eastAsia="zh-CN"/>
        </w:rPr>
        <w:t>；</w:t>
      </w:r>
      <w:r>
        <w:rPr>
          <w:rFonts w:hint="eastAsia" w:ascii="Arial Unicode MS" w:hAnsi="Arial Unicode MS" w:eastAsia="宋体"/>
          <w:color w:val="000000"/>
          <w:kern w:val="0"/>
          <w:sz w:val="21"/>
          <w:szCs w:val="21"/>
          <w:lang w:val="zh-TW" w:eastAsia="zh-TW"/>
        </w:rPr>
        <w:t>新媒体，包括微信、微博、抖音等</w:t>
      </w:r>
      <w:r>
        <w:rPr>
          <w:rFonts w:hint="eastAsia" w:ascii="Arial Unicode MS" w:hAnsi="Arial Unicode MS" w:eastAsia="宋体"/>
          <w:color w:val="000000"/>
          <w:kern w:val="0"/>
          <w:sz w:val="21"/>
          <w:szCs w:val="21"/>
          <w:lang w:val="zh-TW" w:eastAsia="zh-CN"/>
        </w:rPr>
        <w:t>。</w:t>
      </w:r>
      <w:r>
        <w:rPr>
          <w:rFonts w:hint="eastAsia" w:ascii="Arial Unicode MS" w:hAnsi="Arial Unicode MS" w:eastAsia="宋体"/>
          <w:color w:val="000000"/>
          <w:kern w:val="0"/>
          <w:sz w:val="21"/>
          <w:szCs w:val="21"/>
          <w:lang w:val="zh-TW" w:eastAsia="zh-TW"/>
        </w:rPr>
        <w:t>测评报告应当以显著方式标明测评</w:t>
      </w:r>
      <w:r>
        <w:rPr>
          <w:rFonts w:hint="eastAsia" w:ascii="Arial Unicode MS" w:hAnsi="Arial Unicode MS" w:eastAsia="宋体"/>
          <w:color w:val="000000"/>
          <w:kern w:val="0"/>
          <w:sz w:val="21"/>
          <w:szCs w:val="21"/>
          <w:lang w:val="en-US" w:eastAsia="zh-CN"/>
        </w:rPr>
        <w:t>主体</w:t>
      </w:r>
      <w:r>
        <w:rPr>
          <w:rFonts w:hint="eastAsia" w:ascii="Arial Unicode MS" w:hAnsi="Arial Unicode MS" w:eastAsia="宋体"/>
          <w:color w:val="000000"/>
          <w:kern w:val="0"/>
          <w:sz w:val="21"/>
          <w:szCs w:val="21"/>
          <w:lang w:val="zh-TW" w:eastAsia="zh-TW"/>
        </w:rPr>
        <w:t>，注明测评结果仅代表测评</w:t>
      </w:r>
      <w:r>
        <w:rPr>
          <w:rFonts w:hint="eastAsia" w:ascii="Arial Unicode MS" w:hAnsi="Arial Unicode MS" w:eastAsia="宋体"/>
          <w:color w:val="000000"/>
          <w:kern w:val="0"/>
          <w:sz w:val="21"/>
          <w:szCs w:val="21"/>
          <w:lang w:val="en-US" w:eastAsia="zh-CN"/>
        </w:rPr>
        <w:t>主体</w:t>
      </w:r>
      <w:r>
        <w:rPr>
          <w:rFonts w:hint="eastAsia" w:ascii="Arial Unicode MS" w:hAnsi="Arial Unicode MS" w:eastAsia="宋体"/>
          <w:color w:val="000000"/>
          <w:kern w:val="0"/>
          <w:sz w:val="21"/>
          <w:szCs w:val="21"/>
          <w:lang w:val="zh-TW" w:eastAsia="zh-TW"/>
        </w:rPr>
        <w:t>观点。</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default" w:ascii="Arial Unicode MS" w:hAnsi="Arial Unicode MS" w:eastAsia="宋体"/>
          <w:color w:val="000000"/>
          <w:kern w:val="0"/>
          <w:sz w:val="21"/>
          <w:szCs w:val="21"/>
          <w:lang w:val="en-US" w:eastAsia="zh-CN"/>
        </w:rPr>
      </w:pPr>
      <w:r>
        <w:rPr>
          <w:rFonts w:hint="default" w:ascii="Arial Unicode MS" w:hAnsi="Arial Unicode MS" w:eastAsia="宋体"/>
          <w:kern w:val="0"/>
        </w:rPr>
        <w:t>与测评活动有直接或间接利益的个人或组织对测评报告有异议，可向测评</w:t>
      </w:r>
      <w:r>
        <w:rPr>
          <w:rFonts w:hint="eastAsia" w:ascii="Arial Unicode MS" w:hAnsi="Arial Unicode MS" w:eastAsia="宋体"/>
          <w:kern w:val="0"/>
          <w:lang w:val="en-US" w:eastAsia="zh-CN"/>
        </w:rPr>
        <w:t>主体</w:t>
      </w:r>
      <w:r>
        <w:rPr>
          <w:rFonts w:hint="default" w:ascii="Arial Unicode MS" w:hAnsi="Arial Unicode MS" w:eastAsia="宋体"/>
          <w:kern w:val="0"/>
        </w:rPr>
        <w:t>提出书面异议</w:t>
      </w:r>
      <w:r>
        <w:rPr>
          <w:rFonts w:hint="eastAsia" w:ascii="Arial Unicode MS" w:hAnsi="Arial Unicode MS" w:eastAsia="宋体"/>
          <w:kern w:val="0"/>
          <w:lang w:eastAsia="zh-CN"/>
        </w:rPr>
        <w:t>。</w:t>
      </w:r>
      <w:r>
        <w:rPr>
          <w:rFonts w:hint="default" w:ascii="Arial Unicode MS" w:hAnsi="Arial Unicode MS" w:eastAsia="宋体"/>
          <w:kern w:val="0"/>
        </w:rPr>
        <w:t>测评</w:t>
      </w:r>
      <w:r>
        <w:rPr>
          <w:rFonts w:hint="eastAsia" w:ascii="Arial Unicode MS" w:hAnsi="Arial Unicode MS" w:eastAsia="宋体"/>
          <w:kern w:val="0"/>
          <w:lang w:val="en-US" w:eastAsia="zh-CN"/>
        </w:rPr>
        <w:t>主体</w:t>
      </w:r>
      <w:r>
        <w:rPr>
          <w:rFonts w:hint="default" w:ascii="Arial Unicode MS" w:hAnsi="Arial Unicode MS" w:eastAsia="宋体"/>
          <w:kern w:val="0"/>
        </w:rPr>
        <w:t>应正确对待异议反馈并给予明确回复。</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hint="default" w:ascii="黑体" w:hAnsi="黑体" w:eastAsia="黑体" w:cs="黑体"/>
          <w:sz w:val="20"/>
          <w:szCs w:val="20"/>
          <w:lang w:val="en-US" w:eastAsia="zh-CN"/>
        </w:rPr>
      </w:pPr>
      <w:r>
        <w:rPr>
          <w:rFonts w:hint="default" w:ascii="黑体" w:hAnsi="黑体" w:eastAsia="黑体" w:cs="黑体"/>
          <w:sz w:val="20"/>
          <w:szCs w:val="20"/>
          <w:lang w:val="en-US" w:eastAsia="zh-CN"/>
        </w:rPr>
        <w:t>5.1.</w:t>
      </w:r>
      <w:r>
        <w:rPr>
          <w:rFonts w:hint="eastAsia" w:ascii="黑体" w:hAnsi="黑体" w:eastAsia="黑体" w:cs="黑体"/>
          <w:sz w:val="20"/>
          <w:szCs w:val="20"/>
          <w:lang w:val="en-US" w:eastAsia="zh-CN"/>
        </w:rPr>
        <w:t>5</w:t>
      </w:r>
      <w:r>
        <w:rPr>
          <w:rFonts w:hint="default" w:ascii="黑体" w:hAnsi="黑体" w:eastAsia="黑体" w:cs="黑体"/>
          <w:sz w:val="20"/>
          <w:szCs w:val="20"/>
          <w:lang w:val="en-US" w:eastAsia="zh-CN"/>
        </w:rPr>
        <w:t>.2</w:t>
      </w:r>
      <w:r>
        <w:rPr>
          <w:rFonts w:hint="eastAsia" w:ascii="黑体" w:hAnsi="黑体" w:eastAsia="黑体" w:cs="黑体"/>
          <w:sz w:val="20"/>
          <w:szCs w:val="20"/>
          <w:lang w:val="en-US" w:eastAsia="zh-CN"/>
        </w:rPr>
        <w:t>服务类测评程序</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zh-TW" w:eastAsia="zh-TW"/>
        </w:rPr>
        <w:t>服务测评需根据社会一般人的认知和接受度确定测评指标，如服务环境、服务工具、服务人员、专业程度、服务态度、服务效果等，进行多维度综合评价。</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zh-TW" w:eastAsia="zh-TW"/>
        </w:rPr>
        <w:t>服务测评需配备体察人员进行实地体察或使用体验，禁止“只评不测”。</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Arial Unicode MS" w:hAnsi="Arial Unicode MS" w:eastAsia="宋体"/>
          <w:color w:val="000000"/>
          <w:kern w:val="0"/>
          <w:sz w:val="21"/>
          <w:szCs w:val="21"/>
          <w:lang w:val="zh-TW" w:eastAsia="zh-TW"/>
        </w:rPr>
      </w:pPr>
      <w:r>
        <w:rPr>
          <w:rFonts w:hint="eastAsia" w:ascii="Arial Unicode MS" w:hAnsi="Arial Unicode MS" w:eastAsia="宋体"/>
          <w:color w:val="000000"/>
          <w:kern w:val="0"/>
          <w:sz w:val="21"/>
          <w:szCs w:val="21"/>
          <w:lang w:val="zh-TW" w:eastAsia="zh-TW"/>
        </w:rPr>
        <w:t>服务测评关键步骤需采用拍照、录音、录像等形式进行记录，对容易引起争议以及结果难以复现的重要测评过程，应能提供必要的测评实施过程图片、视频等证明资料。</w:t>
      </w:r>
    </w:p>
    <w:p>
      <w:pPr>
        <w:keepNext w:val="0"/>
        <w:keepLines w:val="0"/>
        <w:pageBreakBefore w:val="0"/>
        <w:kinsoku/>
        <w:wordWrap/>
        <w:overflowPunct/>
        <w:topLinePunct w:val="0"/>
        <w:autoSpaceDE/>
        <w:autoSpaceDN/>
        <w:bidi w:val="0"/>
        <w:adjustRightInd/>
        <w:snapToGrid/>
        <w:spacing w:beforeLines="0" w:afterLines="0" w:line="440" w:lineRule="exact"/>
        <w:ind w:firstLine="420" w:firstLineChars="200"/>
        <w:jc w:val="left"/>
        <w:textAlignment w:val="auto"/>
        <w:rPr>
          <w:rFonts w:hint="eastAsia" w:ascii="宋体" w:hAnsi="宋体"/>
          <w:color w:val="000000"/>
          <w:sz w:val="21"/>
          <w:szCs w:val="24"/>
        </w:rPr>
      </w:pPr>
      <w:r>
        <w:rPr>
          <w:rFonts w:hint="eastAsia" w:ascii="Arial Unicode MS" w:hAnsi="Arial Unicode MS" w:eastAsia="宋体"/>
          <w:color w:val="000000"/>
          <w:kern w:val="0"/>
          <w:sz w:val="21"/>
          <w:szCs w:val="21"/>
          <w:lang w:val="zh-TW" w:eastAsia="zh-TW"/>
        </w:rPr>
        <w:t>依据个人主观感受得出的服务类测评结果需以显著方式提醒或告知消费者。</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5.2</w:t>
      </w:r>
      <w:r>
        <w:rPr>
          <w:rFonts w:ascii="黑体" w:hAnsi="黑体" w:eastAsia="黑体" w:cs="黑体"/>
          <w:sz w:val="20"/>
          <w:szCs w:val="20"/>
          <w:lang w:val="zh-TW" w:eastAsia="zh-TW"/>
        </w:rPr>
        <w:t>平台运营者</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5.2.1</w:t>
      </w:r>
      <w:r>
        <w:rPr>
          <w:rFonts w:ascii="黑体" w:hAnsi="黑体" w:eastAsia="黑体" w:cs="黑体"/>
          <w:sz w:val="20"/>
          <w:szCs w:val="20"/>
          <w:lang w:val="zh-TW" w:eastAsia="zh-TW"/>
        </w:rPr>
        <w:t>入驻审核</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pPr>
      <w:r>
        <w:rPr>
          <w:lang w:val="zh-TW" w:eastAsia="zh-TW"/>
        </w:rPr>
        <w:t>平台运营者应在入驻环节</w:t>
      </w:r>
      <w:r>
        <w:rPr>
          <w:rFonts w:hint="eastAsia"/>
          <w:lang w:val="en-US" w:eastAsia="zh-CN"/>
        </w:rPr>
        <w:t>按照平台的统一要求</w:t>
      </w:r>
      <w:r>
        <w:rPr>
          <w:lang w:val="zh-TW" w:eastAsia="zh-TW"/>
        </w:rPr>
        <w:t>对测评主体进行身份验证</w:t>
      </w:r>
      <w:r>
        <w:rPr>
          <w:rFonts w:hint="eastAsia"/>
          <w:lang w:val="zh-TW" w:eastAsia="zh-CN"/>
        </w:rPr>
        <w:t>，对</w:t>
      </w:r>
      <w:r>
        <w:rPr>
          <w:rFonts w:hint="eastAsia"/>
          <w:lang w:val="zh-TW"/>
        </w:rPr>
        <w:t>从事商业行为的测评账号进行统一备案管理</w:t>
      </w:r>
      <w:r>
        <w:rPr>
          <w:lang w:val="zh-TW" w:eastAsia="zh-TW"/>
        </w:rPr>
        <w:t>。</w:t>
      </w:r>
      <w:bookmarkStart w:id="3" w:name="_GoBack"/>
      <w:bookmarkEnd w:id="3"/>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lang w:val="zh-TW" w:eastAsia="zh-TW"/>
        </w:rPr>
        <w:t>平台运营者应在入驻环节对测评主体进行能力验证，</w:t>
      </w:r>
      <w:r>
        <w:rPr>
          <w:rFonts w:hint="eastAsia"/>
          <w:lang w:val="en-US" w:eastAsia="zh-CN"/>
        </w:rPr>
        <w:t>并针对专业测评机构审核其</w:t>
      </w:r>
      <w:r>
        <w:rPr>
          <w:rFonts w:hint="eastAsia"/>
          <w:lang w:val="zh-TW" w:eastAsia="zh-TW"/>
        </w:rPr>
        <w:t>所在行业的认证资质</w:t>
      </w:r>
      <w:r>
        <w:rPr>
          <w:lang w:val="zh-TW" w:eastAsia="zh-TW"/>
        </w:rPr>
        <w:t>。</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lang w:val="zh-TW" w:eastAsia="zh-TW"/>
        </w:rPr>
        <w:t>平台运营者应在入驻环节组织入驻测评主体实施诚信声明，签署公平、公正、公开测评声明（附件</w:t>
      </w:r>
      <w:r>
        <w:rPr>
          <w:rFonts w:ascii="宋体" w:hAnsi="宋体"/>
        </w:rPr>
        <w:t>1</w:t>
      </w:r>
      <w:r>
        <w:rPr>
          <w:lang w:val="zh-TW" w:eastAsia="zh-TW"/>
        </w:rPr>
        <w:t>：诚信声明格式）。</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5.2.2</w:t>
      </w:r>
      <w:r>
        <w:rPr>
          <w:rFonts w:ascii="黑体" w:hAnsi="黑体" w:eastAsia="黑体" w:cs="黑体"/>
          <w:sz w:val="20"/>
          <w:szCs w:val="20"/>
          <w:lang w:val="zh-TW" w:eastAsia="zh-TW"/>
        </w:rPr>
        <w:t>过程管理</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r>
        <w:rPr>
          <w:lang w:val="zh-TW" w:eastAsia="zh-TW"/>
        </w:rPr>
        <w:t>平台运营者应根据测评主体的经营性质、测评内容类别、粉丝量级、测评质量等方面</w:t>
      </w:r>
      <w:r>
        <w:rPr>
          <w:rFonts w:hint="eastAsia"/>
          <w:lang w:val="zh-TW" w:eastAsia="zh-CN"/>
        </w:rPr>
        <w:t>，</w:t>
      </w:r>
      <w:r>
        <w:rPr>
          <w:rFonts w:hint="eastAsia"/>
          <w:lang w:val="en-US" w:eastAsia="zh-CN"/>
        </w:rPr>
        <w:t>通过标签等形式对</w:t>
      </w:r>
      <w:r>
        <w:rPr>
          <w:lang w:val="zh-TW" w:eastAsia="zh-TW"/>
        </w:rPr>
        <w:t>账号进行分类标识，</w:t>
      </w:r>
      <w:r>
        <w:rPr>
          <w:rFonts w:hint="eastAsia"/>
          <w:lang w:val="en-US" w:eastAsia="zh-CN"/>
        </w:rPr>
        <w:t>形成</w:t>
      </w:r>
      <w:r>
        <w:rPr>
          <w:lang w:val="zh-TW" w:eastAsia="zh-TW"/>
        </w:rPr>
        <w:t>科学、易操作</w:t>
      </w:r>
      <w:r>
        <w:rPr>
          <w:rFonts w:hint="eastAsia"/>
          <w:lang w:val="en-US" w:eastAsia="zh-CN"/>
        </w:rPr>
        <w:t>的发布流程</w:t>
      </w:r>
      <w:r>
        <w:rPr>
          <w:lang w:val="zh-TW" w:eastAsia="zh-TW"/>
        </w:rPr>
        <w:t>。</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lang w:val="zh-TW" w:eastAsia="zh-TW"/>
        </w:rPr>
        <w:t>平台运营者应对测评活动实施质量控制，结合信用信誉、作品质量、投诉率、粉丝结构等维度制定科学有效的质量评价标准，对质量流程要素流程进行</w:t>
      </w:r>
      <w:r>
        <w:rPr>
          <w:rFonts w:hint="eastAsia"/>
          <w:lang w:val="zh-TW" w:eastAsia="zh-CN"/>
        </w:rPr>
        <w:t>引导</w:t>
      </w:r>
      <w:r>
        <w:rPr>
          <w:lang w:val="zh-TW" w:eastAsia="zh-TW"/>
        </w:rPr>
        <w:t>提示，实施质量监测，将质量评价结果与流量管控相结合，通过信誉体系、排名机制、投诉反馈及系统监测等质量工具支持测评质量改进提高。</w:t>
      </w: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rFonts w:hint="eastAsia"/>
          <w:lang w:val="zh-TW" w:eastAsia="zh-TW"/>
        </w:rPr>
        <w:t>平台</w:t>
      </w:r>
      <w:r>
        <w:rPr>
          <w:rFonts w:hint="eastAsia"/>
          <w:lang w:val="en-US" w:eastAsia="zh-CN"/>
        </w:rPr>
        <w:t>运营者</w:t>
      </w:r>
      <w:r>
        <w:rPr>
          <w:rFonts w:hint="eastAsia"/>
          <w:lang w:val="zh-TW" w:eastAsia="zh-TW"/>
        </w:rPr>
        <w:t>应参照《中华人民共和国广告法》《中华人民共和国电子商务法》《互联网广告管理办法》等法律、行政法规，以显著方式对具有商业推广性质的测评进行“广告”字样标注。</w:t>
      </w:r>
    </w:p>
    <w:p>
      <w:pPr>
        <w:pStyle w:val="25"/>
        <w:keepNext w:val="0"/>
        <w:keepLines w:val="0"/>
        <w:pageBreakBefore w:val="0"/>
        <w:kinsoku/>
        <w:wordWrap/>
        <w:overflowPunct/>
        <w:topLinePunct w:val="0"/>
        <w:autoSpaceDE/>
        <w:autoSpaceDN/>
        <w:bidi w:val="0"/>
        <w:adjustRightInd/>
        <w:snapToGrid/>
        <w:spacing w:line="440" w:lineRule="exact"/>
        <w:textAlignment w:val="auto"/>
        <w:rPr>
          <w:rFonts w:hint="default"/>
          <w:lang w:val="zh-TW" w:eastAsia="zh-TW"/>
        </w:rPr>
      </w:pPr>
      <w:r>
        <w:rPr>
          <w:lang w:val="zh-TW" w:eastAsia="zh-TW"/>
        </w:rPr>
        <w:t>平台运营者应对测评内容和测评表述实施合规引导，促进公平竞争和知识产权保护。</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5.2.3</w:t>
      </w:r>
      <w:r>
        <w:rPr>
          <w:rFonts w:ascii="黑体" w:hAnsi="黑体" w:eastAsia="黑体" w:cs="黑体"/>
          <w:sz w:val="20"/>
          <w:szCs w:val="20"/>
          <w:lang w:val="zh-TW" w:eastAsia="zh-TW"/>
        </w:rPr>
        <w:t>失信惩治</w:t>
      </w:r>
    </w:p>
    <w:p>
      <w:pPr>
        <w:pStyle w:val="25"/>
        <w:keepNext w:val="0"/>
        <w:keepLines w:val="0"/>
        <w:pageBreakBefore w:val="0"/>
        <w:kinsoku/>
        <w:wordWrap/>
        <w:overflowPunct/>
        <w:topLinePunct w:val="0"/>
        <w:autoSpaceDE/>
        <w:autoSpaceDN/>
        <w:bidi w:val="0"/>
        <w:adjustRightInd/>
        <w:snapToGrid/>
        <w:spacing w:line="440" w:lineRule="exact"/>
        <w:textAlignment w:val="auto"/>
        <w:rPr>
          <w:rFonts w:hint="default"/>
          <w:lang w:val="zh-TW" w:eastAsia="zh-TW"/>
        </w:rPr>
      </w:pPr>
      <w:r>
        <w:rPr>
          <w:lang w:val="zh-TW" w:eastAsia="zh-TW"/>
        </w:rPr>
        <w:t>平台运营者</w:t>
      </w:r>
      <w:r>
        <w:rPr>
          <w:rFonts w:hint="eastAsia"/>
          <w:lang w:val="zh-TW" w:eastAsia="zh-CN"/>
        </w:rPr>
        <w:t>应当</w:t>
      </w:r>
      <w:r>
        <w:rPr>
          <w:lang w:val="zh-TW" w:eastAsia="zh-TW"/>
        </w:rPr>
        <w:t>根据测评企业及个人的违规行为和类别，分类建立相应失信惩治制度。</w:t>
      </w:r>
    </w:p>
    <w:p>
      <w:pPr>
        <w:pStyle w:val="25"/>
        <w:keepNext w:val="0"/>
        <w:keepLines w:val="0"/>
        <w:pageBreakBefore w:val="0"/>
        <w:kinsoku/>
        <w:wordWrap/>
        <w:overflowPunct/>
        <w:topLinePunct w:val="0"/>
        <w:autoSpaceDE/>
        <w:autoSpaceDN/>
        <w:bidi w:val="0"/>
        <w:adjustRightInd/>
        <w:snapToGrid/>
        <w:spacing w:line="440" w:lineRule="exact"/>
        <w:textAlignment w:val="auto"/>
        <w:rPr>
          <w:rFonts w:hint="default"/>
          <w:lang w:val="zh-TW" w:eastAsia="zh-TW"/>
        </w:rPr>
      </w:pPr>
      <w:r>
        <w:rPr>
          <w:lang w:val="zh-TW" w:eastAsia="zh-TW"/>
        </w:rPr>
        <w:t>平台运营者应建立健全投诉和审查机制，接受用户合理投诉举报，及时核实事实及反馈</w:t>
      </w:r>
      <w:r>
        <w:rPr>
          <w:rFonts w:hint="eastAsia"/>
          <w:lang w:val="zh-TW" w:eastAsia="zh-CN"/>
        </w:rPr>
        <w:t>，</w:t>
      </w:r>
      <w:r>
        <w:rPr>
          <w:rFonts w:hint="eastAsia"/>
          <w:lang w:val="en-US" w:eastAsia="zh-CN"/>
        </w:rPr>
        <w:t>建立相应的救济机制</w:t>
      </w:r>
      <w:r>
        <w:rPr>
          <w:lang w:val="zh-TW" w:eastAsia="zh-TW"/>
        </w:rPr>
        <w:t>。</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5.2.4</w:t>
      </w:r>
      <w:r>
        <w:rPr>
          <w:rFonts w:ascii="黑体" w:hAnsi="黑体" w:eastAsia="黑体" w:cs="黑体"/>
          <w:sz w:val="20"/>
          <w:szCs w:val="20"/>
          <w:lang w:val="zh-TW" w:eastAsia="zh-TW"/>
        </w:rPr>
        <w:t>风险管理</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平台运营者的风险管理过程应包含风险评估、风险应对、监督和检查、记录和报告等活动。</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平台运营者需要对互联网测评账号的风险评估包括风险识别、风险分析和风险评价过程，采用相关、适当、最新的信息开展持续的风险识别，对风险信息进行定性的、定量的或者定性和定量相结合的分析，并将风险分析结果与既定的风险准则相比较以确定是否需要采取行动。</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针对互联网测评账号产生的法律风险、舆情风险等，平台运营者宜及时选择和实施恰当的风险处理方案，以将风险可能导致的有形或无形的后果控制在可接受范围内。</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平台运营者宜建立适当的工作机制，通过持续的监督和检查确保和提升风险管理质量，并做好风险管理过程和结果记录。</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5.2.5</w:t>
      </w:r>
      <w:r>
        <w:rPr>
          <w:rFonts w:ascii="黑体" w:hAnsi="黑体" w:eastAsia="黑体" w:cs="黑体"/>
          <w:sz w:val="20"/>
          <w:szCs w:val="20"/>
          <w:lang w:val="zh-TW" w:eastAsia="zh-TW"/>
        </w:rPr>
        <w:t>数据管理</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平台运营者宜在组织架构、岗位设置、团队建设、数据责任等方面开展数据治理工作，确保数据及其应用合规，满足法律法规和行业监管的要求，满足风险偏好和风险容忍度，促进数据资产化和数据的价值实现。</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lang w:val="zh-TW" w:eastAsia="zh-TW"/>
        </w:rPr>
      </w:pPr>
      <w:r>
        <w:rPr>
          <w:lang w:val="zh-TW" w:eastAsia="zh-TW"/>
        </w:rPr>
        <w:t>平台运营者宜采用安全可靠的方式来存储数据，确保数据不会被非法获取或篡改。同时，定期备份数据，并采取防止数据丢失或损坏的措施。若出现数据泄露等问题，应及时发布公告并采取相应措施，保护用户权益。</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5.3</w:t>
      </w:r>
      <w:r>
        <w:rPr>
          <w:rFonts w:ascii="黑体" w:hAnsi="黑体" w:eastAsia="黑体" w:cs="黑体"/>
          <w:sz w:val="20"/>
          <w:szCs w:val="20"/>
          <w:lang w:val="zh-TW" w:eastAsia="zh-TW"/>
        </w:rPr>
        <w:t>消费者</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5.3.1</w:t>
      </w:r>
      <w:r>
        <w:rPr>
          <w:rFonts w:ascii="黑体" w:hAnsi="黑体" w:eastAsia="黑体" w:cs="黑体"/>
          <w:sz w:val="20"/>
          <w:szCs w:val="20"/>
          <w:lang w:val="zh-TW" w:eastAsia="zh-TW"/>
        </w:rPr>
        <w:t>理性评价</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消费者需要理性看待测评结果，关注测评</w:t>
      </w:r>
      <w:r>
        <w:rPr>
          <w:rFonts w:hint="eastAsia"/>
          <w:lang w:val="en-US" w:eastAsia="zh-CN"/>
        </w:rPr>
        <w:t>主体</w:t>
      </w:r>
      <w:r>
        <w:rPr>
          <w:lang w:val="zh-TW" w:eastAsia="zh-TW"/>
        </w:rPr>
        <w:t>的方法和过程，鼓励理性、真实和客观的测评内容。</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 xml:space="preserve">5.3.2 </w:t>
      </w:r>
      <w:r>
        <w:rPr>
          <w:rFonts w:ascii="黑体" w:hAnsi="黑体" w:eastAsia="黑体" w:cs="黑体"/>
          <w:sz w:val="20"/>
          <w:szCs w:val="20"/>
          <w:lang w:val="zh-TW" w:eastAsia="zh-TW"/>
        </w:rPr>
        <w:t>理性消费</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提倡理性消费，善用搜索引擎、同类比较等方法，综合多家平台、多个机构的测评作品进行交叉验证。</w:t>
      </w:r>
    </w:p>
    <w:p>
      <w:pPr>
        <w:pStyle w:val="23"/>
        <w:keepNext w:val="0"/>
        <w:keepLines w:val="0"/>
        <w:pageBreakBefore w:val="0"/>
        <w:kinsoku/>
        <w:wordWrap/>
        <w:overflowPunct/>
        <w:topLinePunct w:val="0"/>
        <w:autoSpaceDE/>
        <w:autoSpaceDN/>
        <w:bidi w:val="0"/>
        <w:adjustRightInd/>
        <w:snapToGrid/>
        <w:spacing w:before="156" w:after="156" w:line="440" w:lineRule="exact"/>
        <w:ind w:left="0"/>
        <w:textAlignment w:val="auto"/>
        <w:rPr>
          <w:rFonts w:ascii="黑体" w:hAnsi="黑体" w:eastAsia="黑体" w:cs="黑体"/>
          <w:sz w:val="20"/>
          <w:szCs w:val="20"/>
        </w:rPr>
      </w:pPr>
      <w:r>
        <w:rPr>
          <w:rFonts w:ascii="黑体" w:hAnsi="黑体" w:eastAsia="黑体" w:cs="黑体"/>
          <w:sz w:val="20"/>
          <w:szCs w:val="20"/>
        </w:rPr>
        <w:t>5.3.3</w:t>
      </w:r>
      <w:r>
        <w:rPr>
          <w:rFonts w:ascii="黑体" w:hAnsi="黑体" w:eastAsia="黑体" w:cs="黑体"/>
          <w:sz w:val="20"/>
          <w:szCs w:val="20"/>
          <w:lang w:val="zh-TW" w:eastAsia="zh-TW"/>
        </w:rPr>
        <w:t>监督投诉</w:t>
      </w:r>
    </w:p>
    <w:p>
      <w:pPr>
        <w:pStyle w:val="20"/>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lang w:val="zh-TW" w:eastAsia="zh-TW"/>
        </w:rPr>
      </w:pPr>
      <w:r>
        <w:rPr>
          <w:lang w:val="zh-TW" w:eastAsia="zh-TW"/>
        </w:rPr>
        <w:t>消费者充分行使对商品和服务进行监督的权利，有权向有关部门投诉测评</w:t>
      </w:r>
      <w:r>
        <w:rPr>
          <w:rFonts w:hint="eastAsia"/>
          <w:lang w:val="en-US" w:eastAsia="zh-CN"/>
        </w:rPr>
        <w:t>主体</w:t>
      </w:r>
      <w:r>
        <w:rPr>
          <w:lang w:val="zh-TW" w:eastAsia="zh-TW"/>
        </w:rPr>
        <w:t>和平台运营者侵害消费者权益的行为。消费者投诉应当以维护自身合法权益和维护社会经济秩序为目标，投诉内容应当真实诚信，不进行恶意投诉、虚假投诉。</w:t>
      </w:r>
    </w:p>
    <w:p>
      <w:pPr>
        <w:pStyle w:val="26"/>
        <w:keepNext w:val="0"/>
        <w:keepLines w:val="0"/>
        <w:pageBreakBefore w:val="0"/>
        <w:kinsoku/>
        <w:wordWrap/>
        <w:overflowPunct/>
        <w:topLinePunct w:val="0"/>
        <w:autoSpaceDE/>
        <w:autoSpaceDN/>
        <w:bidi w:val="0"/>
        <w:adjustRightInd/>
        <w:snapToGrid/>
        <w:spacing w:line="440" w:lineRule="exact"/>
        <w:ind w:firstLine="0"/>
        <w:textAlignment w:val="auto"/>
      </w:pP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p>
    <w:p>
      <w:pPr>
        <w:pStyle w:val="17"/>
        <w:keepNext w:val="0"/>
        <w:keepLines w:val="0"/>
        <w:pageBreakBefore w:val="0"/>
        <w:kinsoku/>
        <w:wordWrap/>
        <w:overflowPunct/>
        <w:topLinePunct w:val="0"/>
        <w:autoSpaceDE/>
        <w:autoSpaceDN/>
        <w:bidi w:val="0"/>
        <w:adjustRightInd/>
        <w:snapToGrid/>
        <w:spacing w:line="440" w:lineRule="exact"/>
        <w:ind w:firstLine="420"/>
        <w:textAlignment w:val="auto"/>
        <w:rPr>
          <w:rFonts w:hint="default"/>
        </w:rPr>
      </w:pPr>
    </w:p>
    <w:p>
      <w:pPr>
        <w:keepNext w:val="0"/>
        <w:keepLines w:val="0"/>
        <w:pageBreakBefore w:val="0"/>
        <w:kinsoku/>
        <w:wordWrap/>
        <w:overflowPunct/>
        <w:topLinePunct w:val="0"/>
        <w:autoSpaceDE/>
        <w:autoSpaceDN/>
        <w:bidi w:val="0"/>
        <w:adjustRightInd/>
        <w:snapToGrid/>
        <w:spacing w:line="440" w:lineRule="exact"/>
        <w:jc w:val="center"/>
        <w:textAlignment w:val="auto"/>
      </w:pPr>
      <w:r>
        <w:t>_________________________________</w:t>
      </w:r>
    </w:p>
    <w:p>
      <w:pPr>
        <w:keepNext w:val="0"/>
        <w:keepLines w:val="0"/>
        <w:pageBreakBefore w:val="0"/>
        <w:kinsoku/>
        <w:wordWrap/>
        <w:overflowPunct/>
        <w:topLinePunct w:val="0"/>
        <w:autoSpaceDE/>
        <w:autoSpaceDN/>
        <w:bidi w:val="0"/>
        <w:adjustRightInd/>
        <w:snapToGrid/>
        <w:spacing w:line="440" w:lineRule="exact"/>
        <w:textAlignment w:val="auto"/>
        <w:rPr>
          <w:sz w:val="32"/>
          <w:szCs w:val="32"/>
        </w:rPr>
      </w:pPr>
    </w:p>
    <w:p>
      <w:pPr>
        <w:keepNext w:val="0"/>
        <w:keepLines w:val="0"/>
        <w:pageBreakBefore w:val="0"/>
        <w:kinsoku/>
        <w:wordWrap/>
        <w:overflowPunct/>
        <w:topLinePunct w:val="0"/>
        <w:autoSpaceDE/>
        <w:autoSpaceDN/>
        <w:bidi w:val="0"/>
        <w:adjustRightInd/>
        <w:snapToGrid/>
        <w:spacing w:line="440" w:lineRule="exact"/>
        <w:textAlignment w:val="auto"/>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sectPr>
      <w:headerReference r:id="rId7" w:type="default"/>
      <w:footerReference r:id="rId8" w:type="default"/>
      <w:pgSz w:w="11900" w:h="16840"/>
      <w:pgMar w:top="567" w:right="1134" w:bottom="1134" w:left="1418" w:header="1418" w:footer="1134"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0"/>
    <w:family w:val="swiss"/>
    <w:pitch w:val="default"/>
    <w:sig w:usb0="FFFFFFFF" w:usb1="E9FFFFFF" w:usb2="0000003F" w:usb3="00000000" w:csb0="603F01FF" w:csb1="FFFF0000"/>
  </w:font>
  <w:font w:name="Helvetica Neue">
    <w:altName w:val="Times New Roman"/>
    <w:panose1 w:val="02000503000000020004"/>
    <w:charset w:val="00"/>
    <w:family w:val="auto"/>
    <w:pitch w:val="default"/>
    <w:sig w:usb0="00000000" w:usb1="00000000" w:usb2="00000010" w:usb3="00000000" w:csb0="00000000" w:csb1="00000000"/>
  </w:font>
  <w:font w:name="Cambria">
    <w:panose1 w:val="02040503050406030204"/>
    <w:charset w:val="00"/>
    <w:family w:val="roman"/>
    <w:pitch w:val="default"/>
    <w:sig w:usb0="E00002FF" w:usb1="400004FF" w:usb2="00000000" w:usb3="00000000" w:csb0="2000019F" w:csb1="00000000"/>
  </w:font>
  <w:font w:name="Helvetica">
    <w:altName w:val="Arial"/>
    <w:panose1 w:val="00000000000000000000"/>
    <w:charset w:val="00"/>
    <w:family w:val="auto"/>
    <w:pitch w:val="default"/>
    <w:sig w:usb0="00000000" w:usb1="00000000" w:usb2="00000000" w:usb3="00000000" w:csb0="2000019F" w:csb1="4F010000"/>
  </w:font>
  <w:font w:name="微软雅黑">
    <w:panose1 w:val="020B0503020204020204"/>
    <w:charset w:val="86"/>
    <w:family w:val="swiss"/>
    <w:pitch w:val="default"/>
    <w:sig w:usb0="80000287" w:usb1="280F3C52" w:usb2="00000016" w:usb3="00000000" w:csb0="0004001F" w:csb1="00000000"/>
  </w:font>
  <w:font w:name="Times New Roman Regular">
    <w:altName w:val="Times New Roman"/>
    <w:panose1 w:val="02020503050405090304"/>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ascii="微软雅黑" w:hAnsi="微软雅黑" w:eastAsia="微软雅黑" w:cs="微软雅黑"/>
      </w:rPr>
      <w:t>Ⅰ</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fldChar w:fldCharType="begin"/>
    </w:r>
    <w:r>
      <w:instrText xml:space="preserve"> PAGE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t>T/CIQA000 - 2023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AF0B4E"/>
    <w:multiLevelType w:val="multilevel"/>
    <w:tmpl w:val="58AF0B4E"/>
    <w:lvl w:ilvl="0" w:tentative="0">
      <w:start w:val="1"/>
      <w:numFmt w:val="decimal"/>
      <w:suff w:val="nothing"/>
      <w:lvlText w:val="%1."/>
      <w:lvlJc w:val="left"/>
      <w:pPr>
        <w:ind w:left="100" w:hanging="98"/>
      </w:pPr>
      <w:rPr>
        <w:rFonts w:hAnsi="Arial Unicode MS"/>
        <w:caps w:val="0"/>
        <w:smallCaps w:val="0"/>
        <w:strike w:val="0"/>
        <w:dstrike w:val="0"/>
        <w:outline w:val="0"/>
        <w:emboss w:val="0"/>
        <w:imprint w:val="0"/>
        <w:spacing w:val="0"/>
        <w:w w:val="100"/>
        <w:kern w:val="0"/>
        <w:position w:val="0"/>
        <w:highlight w:val="none"/>
        <w:vertAlign w:val="baseline"/>
      </w:rPr>
    </w:lvl>
    <w:lvl w:ilvl="1" w:tentative="0">
      <w:start w:val="1"/>
      <w:numFmt w:val="decimal"/>
      <w:suff w:val="nothing"/>
      <w:lvlText w:val="%2."/>
      <w:lvlJc w:val="left"/>
      <w:pPr>
        <w:ind w:left="111" w:hanging="109"/>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2" w:tentative="0">
      <w:start w:val="1"/>
      <w:numFmt w:val="decimal"/>
      <w:suff w:val="nothing"/>
      <w:lvlText w:val="%2.%3."/>
      <w:lvlJc w:val="left"/>
      <w:pPr>
        <w:ind w:left="111" w:hanging="109"/>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3" w:tentative="0">
      <w:start w:val="1"/>
      <w:numFmt w:val="decimal"/>
      <w:suff w:val="nothing"/>
      <w:lvlText w:val="%2.%3.%4."/>
      <w:lvlJc w:val="left"/>
      <w:pPr>
        <w:ind w:left="285" w:hanging="109"/>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entative="0">
      <w:start w:val="1"/>
      <w:numFmt w:val="decimal"/>
      <w:suff w:val="nothing"/>
      <w:lvlText w:val="%2.%3.%4.%5."/>
      <w:lvlJc w:val="left"/>
      <w:pPr>
        <w:ind w:left="111" w:hanging="109"/>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5" w:tentative="0">
      <w:start w:val="1"/>
      <w:numFmt w:val="decimal"/>
      <w:suff w:val="nothing"/>
      <w:lvlText w:val="%2.%3.%4.%5.%6."/>
      <w:lvlJc w:val="left"/>
      <w:pPr>
        <w:ind w:left="111" w:hanging="109"/>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6" w:tentative="0">
      <w:start w:val="1"/>
      <w:numFmt w:val="decimal"/>
      <w:suff w:val="nothing"/>
      <w:lvlText w:val="%2.%3.%4.%5.%6.%7."/>
      <w:lvlJc w:val="left"/>
      <w:pPr>
        <w:ind w:left="111" w:hanging="109"/>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entative="0">
      <w:start w:val="1"/>
      <w:numFmt w:val="decimal"/>
      <w:lvlText w:val="%2.%3.%4.%5.%6.%7.%8."/>
      <w:lvlJc w:val="left"/>
      <w:pPr>
        <w:ind w:left="3262" w:hanging="1416"/>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8" w:tentative="0">
      <w:start w:val="1"/>
      <w:numFmt w:val="decimal"/>
      <w:lvlText w:val="%2.%3.%4.%5.%6.%7.%8.%9."/>
      <w:lvlJc w:val="left"/>
      <w:pPr>
        <w:ind w:left="3970" w:hanging="1698"/>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0"/>
    <w:lvlOverride w:ilvl="0">
      <w:lvl w:ilvl="0" w:tentative="1">
        <w:start w:val="1"/>
        <w:numFmt w:val="decimal"/>
        <w:suff w:val="nothing"/>
        <w:lvlText w:val="%1."/>
        <w:lvlJc w:val="left"/>
        <w:pPr>
          <w:ind w:left="100" w:hanging="9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entative="1">
        <w:start w:val="1"/>
        <w:numFmt w:val="decimal"/>
        <w:suff w:val="nothing"/>
        <w:lvlText w:val="%2."/>
        <w:lvlJc w:val="left"/>
        <w:pPr>
          <w:ind w:left="111" w:hanging="111"/>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2">
      <w:lvl w:ilvl="2" w:tentative="1">
        <w:start w:val="1"/>
        <w:numFmt w:val="decimal"/>
        <w:suff w:val="nothing"/>
        <w:lvlText w:val="%2.%3."/>
        <w:lvlJc w:val="left"/>
        <w:pPr>
          <w:ind w:left="111" w:hanging="111"/>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3">
      <w:lvl w:ilvl="3" w:tentative="1">
        <w:start w:val="1"/>
        <w:numFmt w:val="decimal"/>
        <w:suff w:val="nothing"/>
        <w:lvlText w:val="%2.%3.%4."/>
        <w:lvlJc w:val="left"/>
        <w:pPr>
          <w:ind w:left="283" w:hanging="111"/>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4">
      <w:lvl w:ilvl="4" w:tentative="1">
        <w:start w:val="1"/>
        <w:numFmt w:val="decimal"/>
        <w:suff w:val="nothing"/>
        <w:lvlText w:val="%2.%3.%4.%5."/>
        <w:lvlJc w:val="left"/>
        <w:pPr>
          <w:ind w:left="111" w:hanging="111"/>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5">
      <w:lvl w:ilvl="5" w:tentative="1">
        <w:start w:val="1"/>
        <w:numFmt w:val="decimal"/>
        <w:suff w:val="nothing"/>
        <w:lvlText w:val="%2.%3.%4.%5.%6."/>
        <w:lvlJc w:val="left"/>
        <w:pPr>
          <w:ind w:left="111" w:hanging="111"/>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6">
      <w:lvl w:ilvl="6" w:tentative="1">
        <w:start w:val="1"/>
        <w:numFmt w:val="decimal"/>
        <w:suff w:val="nothing"/>
        <w:lvlText w:val="%2.%3.%4.%5.%6.%7."/>
        <w:lvlJc w:val="left"/>
        <w:pPr>
          <w:ind w:left="111" w:hanging="111"/>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sz w:val="21"/>
          <w:szCs w:val="21"/>
          <w:highlight w:val="none"/>
          <w:vertAlign w:val="baseline"/>
        </w:rPr>
      </w:lvl>
    </w:lvlOverride>
    <w:lvlOverride w:ilvl="7">
      <w:lvl w:ilvl="7" w:tentative="1">
        <w:start w:val="1"/>
        <w:numFmt w:val="decimal"/>
        <w:lvlText w:val="%2.%3.%4.%5.%6.%7.%8."/>
        <w:lvlJc w:val="left"/>
        <w:pPr>
          <w:ind w:left="3260" w:hanging="1418"/>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entative="1">
        <w:start w:val="1"/>
        <w:numFmt w:val="decimal"/>
        <w:lvlText w:val="%2.%3.%4.%5.%6.%7.%8.%9."/>
        <w:lvlJc w:val="left"/>
        <w:pPr>
          <w:ind w:left="3968" w:hanging="1700"/>
        </w:pPr>
        <w:rPr>
          <w:rFonts w:ascii="Helvetica" w:hAnsi="Helvetica" w:eastAsia="Helvetica" w:cs="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jOTE5Y2ZjNDc5M2MzYzZkNzExZmRkNWQzMTkwYmYifQ=="/>
  </w:docVars>
  <w:rsids>
    <w:rsidRoot w:val="00044D68"/>
    <w:rsid w:val="00044D68"/>
    <w:rsid w:val="001F7BB3"/>
    <w:rsid w:val="00667E11"/>
    <w:rsid w:val="00E63F89"/>
    <w:rsid w:val="02217FDE"/>
    <w:rsid w:val="04BA2023"/>
    <w:rsid w:val="0AC41E4E"/>
    <w:rsid w:val="12D0003A"/>
    <w:rsid w:val="19770656"/>
    <w:rsid w:val="1C8925AF"/>
    <w:rsid w:val="24F93701"/>
    <w:rsid w:val="26240339"/>
    <w:rsid w:val="264F6618"/>
    <w:rsid w:val="27AF8D37"/>
    <w:rsid w:val="27EBBD9F"/>
    <w:rsid w:val="2CB743B2"/>
    <w:rsid w:val="2E902A3E"/>
    <w:rsid w:val="2F77CC56"/>
    <w:rsid w:val="31FA3731"/>
    <w:rsid w:val="34E24AFB"/>
    <w:rsid w:val="38E5105E"/>
    <w:rsid w:val="3B3D843E"/>
    <w:rsid w:val="3CCD7E3F"/>
    <w:rsid w:val="3D1F1A46"/>
    <w:rsid w:val="3D59E32E"/>
    <w:rsid w:val="3D59EB36"/>
    <w:rsid w:val="3D9BF664"/>
    <w:rsid w:val="3DB868D1"/>
    <w:rsid w:val="3EEF6F1A"/>
    <w:rsid w:val="3EFBB106"/>
    <w:rsid w:val="3F7E2164"/>
    <w:rsid w:val="3FEAE207"/>
    <w:rsid w:val="4B3F4FD1"/>
    <w:rsid w:val="4BF79CFB"/>
    <w:rsid w:val="4C9142C0"/>
    <w:rsid w:val="4DEF70DB"/>
    <w:rsid w:val="4E834801"/>
    <w:rsid w:val="516528E4"/>
    <w:rsid w:val="517F584D"/>
    <w:rsid w:val="53BF0F06"/>
    <w:rsid w:val="54553ED8"/>
    <w:rsid w:val="56786C15"/>
    <w:rsid w:val="56F049FE"/>
    <w:rsid w:val="57FC2832"/>
    <w:rsid w:val="59EB8C0E"/>
    <w:rsid w:val="5DFD54FE"/>
    <w:rsid w:val="5DFF8922"/>
    <w:rsid w:val="5E9071F2"/>
    <w:rsid w:val="5EB17168"/>
    <w:rsid w:val="5EF51B17"/>
    <w:rsid w:val="5F96CD15"/>
    <w:rsid w:val="5FB6FDA4"/>
    <w:rsid w:val="617F3080"/>
    <w:rsid w:val="61E433B1"/>
    <w:rsid w:val="64416229"/>
    <w:rsid w:val="65640A91"/>
    <w:rsid w:val="68F8EEF6"/>
    <w:rsid w:val="68FFCB51"/>
    <w:rsid w:val="6BC24763"/>
    <w:rsid w:val="6BFE8E6F"/>
    <w:rsid w:val="6C6B2136"/>
    <w:rsid w:val="6D313E62"/>
    <w:rsid w:val="6EADD856"/>
    <w:rsid w:val="6FD7FDFE"/>
    <w:rsid w:val="6FF735D9"/>
    <w:rsid w:val="73AF1A18"/>
    <w:rsid w:val="73FF1F9C"/>
    <w:rsid w:val="75B7CEDA"/>
    <w:rsid w:val="76FF7CCF"/>
    <w:rsid w:val="775A0E95"/>
    <w:rsid w:val="777706FE"/>
    <w:rsid w:val="777E94AB"/>
    <w:rsid w:val="78D875C7"/>
    <w:rsid w:val="7A5E1896"/>
    <w:rsid w:val="7AFA02DB"/>
    <w:rsid w:val="7B6F6FA7"/>
    <w:rsid w:val="7B7BAA6F"/>
    <w:rsid w:val="7B8E19F8"/>
    <w:rsid w:val="7B9B28DB"/>
    <w:rsid w:val="7BBFDCF0"/>
    <w:rsid w:val="7C17FAD3"/>
    <w:rsid w:val="7DBA789C"/>
    <w:rsid w:val="7DD2891F"/>
    <w:rsid w:val="7EDEAB59"/>
    <w:rsid w:val="7EFE9D7D"/>
    <w:rsid w:val="7F125BFF"/>
    <w:rsid w:val="7FD6DF51"/>
    <w:rsid w:val="7FFE181E"/>
    <w:rsid w:val="7FFE4B15"/>
    <w:rsid w:val="968B028D"/>
    <w:rsid w:val="98F71C7E"/>
    <w:rsid w:val="9FADC49B"/>
    <w:rsid w:val="BB5D0EA6"/>
    <w:rsid w:val="BB668C05"/>
    <w:rsid w:val="BCF296BA"/>
    <w:rsid w:val="BCFF7586"/>
    <w:rsid w:val="BDDF5E33"/>
    <w:rsid w:val="BEFF7C9F"/>
    <w:rsid w:val="CBDB5C16"/>
    <w:rsid w:val="CDFFFCC3"/>
    <w:rsid w:val="D7379195"/>
    <w:rsid w:val="D77B724A"/>
    <w:rsid w:val="DBAFA59C"/>
    <w:rsid w:val="DDF3965D"/>
    <w:rsid w:val="DEBB9478"/>
    <w:rsid w:val="DF7B72E4"/>
    <w:rsid w:val="E69D828C"/>
    <w:rsid w:val="E9FEBD31"/>
    <w:rsid w:val="EAFB9B21"/>
    <w:rsid w:val="ED7D9050"/>
    <w:rsid w:val="EDB5C42B"/>
    <w:rsid w:val="EEFB46D6"/>
    <w:rsid w:val="EEFF43C3"/>
    <w:rsid w:val="EFCFA0A5"/>
    <w:rsid w:val="EFF6CE86"/>
    <w:rsid w:val="F70F2A3B"/>
    <w:rsid w:val="F77B3CC6"/>
    <w:rsid w:val="F7936F1C"/>
    <w:rsid w:val="F7BB8B01"/>
    <w:rsid w:val="FAFD18F6"/>
    <w:rsid w:val="FBBFC089"/>
    <w:rsid w:val="FBFF73DE"/>
    <w:rsid w:val="FD5F2C56"/>
    <w:rsid w:val="FDBF0DE8"/>
    <w:rsid w:val="FEAF0061"/>
    <w:rsid w:val="FED71579"/>
    <w:rsid w:val="FEFDD498"/>
    <w:rsid w:val="FF6F6E80"/>
    <w:rsid w:val="FFBDDBB7"/>
    <w:rsid w:val="FFFDDA4C"/>
    <w:rsid w:val="FFFEA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ascii="Times New Roman" w:hAnsi="Times New Roman" w:eastAsia="Arial Unicode MS" w:cs="Arial Unicode MS"/>
      <w:color w:val="000000"/>
      <w:kern w:val="2"/>
      <w:sz w:val="21"/>
      <w:szCs w:val="21"/>
      <w:u w:color="000000"/>
      <w:lang w:val="en-US" w:eastAsia="zh-CN" w:bidi="ar-SA"/>
    </w:rPr>
  </w:style>
  <w:style w:type="paragraph" w:styleId="3">
    <w:name w:val="heading 1"/>
    <w:next w:val="1"/>
    <w:qFormat/>
    <w:uiPriority w:val="9"/>
    <w:pPr>
      <w:keepNext/>
      <w:keepLines/>
      <w:widowControl w:val="0"/>
      <w:pBdr>
        <w:top w:val="none" w:color="auto" w:sz="0" w:space="0"/>
        <w:left w:val="none" w:color="auto" w:sz="0" w:space="0"/>
        <w:bottom w:val="none" w:color="auto" w:sz="0" w:space="0"/>
        <w:right w:val="none" w:color="auto" w:sz="0" w:space="0"/>
        <w:between w:val="none" w:color="auto" w:sz="0" w:space="0"/>
      </w:pBdr>
      <w:spacing w:before="340" w:after="330" w:line="578" w:lineRule="auto"/>
      <w:jc w:val="both"/>
      <w:outlineLvl w:val="0"/>
    </w:pPr>
    <w:rPr>
      <w:rFonts w:hint="eastAsia" w:ascii="Arial Unicode MS" w:hAnsi="Arial Unicode MS" w:eastAsia="Times New Roman" w:cs="Arial Unicode MS"/>
      <w:b/>
      <w:bCs/>
      <w:color w:val="000000"/>
      <w:kern w:val="44"/>
      <w:sz w:val="44"/>
      <w:szCs w:val="44"/>
      <w:u w:color="000000"/>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unhideWhenUsed/>
    <w:qFormat/>
    <w:uiPriority w:val="99"/>
    <w:rPr>
      <w:sz w:val="18"/>
    </w:rPr>
  </w:style>
  <w:style w:type="paragraph" w:styleId="4">
    <w:name w:val="annotation text"/>
    <w:basedOn w:val="1"/>
    <w:link w:val="27"/>
    <w:semiHidden/>
    <w:unhideWhenUsed/>
    <w:qFormat/>
    <w:uiPriority w:val="99"/>
    <w:pPr>
      <w:jc w:val="left"/>
    </w:pPr>
  </w:style>
  <w:style w:type="paragraph" w:styleId="5">
    <w:name w:val="footer"/>
    <w:qFormat/>
    <w:uiPriority w:val="0"/>
    <w:pPr>
      <w:widowControl w:val="0"/>
      <w:pBdr>
        <w:top w:val="none" w:color="auto" w:sz="0" w:space="0"/>
        <w:left w:val="none" w:color="auto" w:sz="0" w:space="0"/>
        <w:bottom w:val="none" w:color="auto" w:sz="0" w:space="0"/>
        <w:right w:val="none" w:color="auto" w:sz="0" w:space="0"/>
        <w:between w:val="none" w:color="auto" w:sz="0" w:space="0"/>
      </w:pBdr>
      <w:tabs>
        <w:tab w:val="center" w:pos="4153"/>
        <w:tab w:val="right" w:pos="8306"/>
      </w:tabs>
      <w:ind w:right="210"/>
      <w:jc w:val="right"/>
    </w:pPr>
    <w:rPr>
      <w:rFonts w:ascii="Times New Roman" w:hAnsi="Times New Roman" w:eastAsia="Times New Roman" w:cs="Times New Roman"/>
      <w:color w:val="000000"/>
      <w:kern w:val="2"/>
      <w:sz w:val="18"/>
      <w:szCs w:val="18"/>
      <w:u w:color="000000"/>
      <w:lang w:val="en-US" w:eastAsia="zh-CN" w:bidi="ar-SA"/>
    </w:rPr>
  </w:style>
  <w:style w:type="paragraph" w:styleId="6">
    <w:name w:val="annotation subject"/>
    <w:basedOn w:val="4"/>
    <w:next w:val="4"/>
    <w:link w:val="28"/>
    <w:semiHidden/>
    <w:unhideWhenUsed/>
    <w:qFormat/>
    <w:uiPriority w:val="99"/>
    <w:rPr>
      <w:b/>
      <w:bCs/>
    </w:rPr>
  </w:style>
  <w:style w:type="character" w:styleId="9">
    <w:name w:val="Emphasis"/>
    <w:basedOn w:val="8"/>
    <w:qFormat/>
    <w:uiPriority w:val="20"/>
    <w:rPr>
      <w:i/>
    </w:rPr>
  </w:style>
  <w:style w:type="character" w:styleId="10">
    <w:name w:val="Hyperlink"/>
    <w:qFormat/>
    <w:uiPriority w:val="0"/>
    <w:rPr>
      <w:u w:val="single"/>
    </w:rPr>
  </w:style>
  <w:style w:type="character" w:styleId="11">
    <w:name w:val="annotation reference"/>
    <w:basedOn w:val="8"/>
    <w:semiHidden/>
    <w:unhideWhenUsed/>
    <w:qFormat/>
    <w:uiPriority w:val="99"/>
    <w:rPr>
      <w:sz w:val="21"/>
      <w:szCs w:val="21"/>
    </w:rPr>
  </w:style>
  <w:style w:type="table" w:customStyle="1" w:styleId="12">
    <w:name w:val="Table Normal"/>
    <w:qFormat/>
    <w:uiPriority w:val="0"/>
    <w:tblPr>
      <w:tblCellMar>
        <w:top w:w="0" w:type="dxa"/>
        <w:left w:w="0" w:type="dxa"/>
        <w:bottom w:w="0" w:type="dxa"/>
        <w:right w:w="0" w:type="dxa"/>
      </w:tblCellMar>
    </w:tblPr>
  </w:style>
  <w:style w:type="paragraph" w:customStyle="1" w:styleId="13">
    <w:name w:val="标准文件_页眉奇数页"/>
    <w:next w:val="1"/>
    <w:qFormat/>
    <w:uiPriority w:val="0"/>
    <w:pPr>
      <w:widowControl w:val="0"/>
      <w:pBdr>
        <w:top w:val="none" w:color="auto" w:sz="0" w:space="0"/>
        <w:left w:val="none" w:color="auto" w:sz="0" w:space="0"/>
        <w:bottom w:val="none" w:color="auto" w:sz="0" w:space="0"/>
        <w:right w:val="none" w:color="auto" w:sz="0" w:space="0"/>
        <w:between w:val="none" w:color="auto" w:sz="0" w:space="0"/>
      </w:pBdr>
      <w:tabs>
        <w:tab w:val="center" w:pos="4154"/>
        <w:tab w:val="right" w:pos="8306"/>
      </w:tabs>
      <w:spacing w:after="120"/>
      <w:jc w:val="right"/>
    </w:pPr>
    <w:rPr>
      <w:rFonts w:ascii="黑体" w:hAnsi="黑体" w:eastAsia="黑体" w:cs="黑体"/>
      <w:color w:val="000000"/>
      <w:sz w:val="21"/>
      <w:szCs w:val="21"/>
      <w:u w:color="000000"/>
      <w:lang w:val="en-US" w:eastAsia="zh-CN" w:bidi="ar-SA"/>
    </w:rPr>
  </w:style>
  <w:style w:type="paragraph" w:customStyle="1" w:styleId="14">
    <w:name w:val="标准文件_页脚奇数页"/>
    <w:qFormat/>
    <w:uiPriority w:val="0"/>
    <w:pPr>
      <w:widowControl w:val="0"/>
      <w:pBdr>
        <w:top w:val="none" w:color="auto" w:sz="0" w:space="0"/>
        <w:left w:val="none" w:color="auto" w:sz="0" w:space="0"/>
        <w:bottom w:val="none" w:color="auto" w:sz="0" w:space="0"/>
        <w:right w:val="none" w:color="auto" w:sz="0" w:space="0"/>
        <w:between w:val="none" w:color="auto" w:sz="0" w:space="0"/>
      </w:pBdr>
      <w:ind w:right="227"/>
      <w:jc w:val="right"/>
    </w:pPr>
    <w:rPr>
      <w:rFonts w:ascii="宋体" w:hAnsi="宋体" w:eastAsia="Arial Unicode MS" w:cs="Arial Unicode MS"/>
      <w:color w:val="000000"/>
      <w:sz w:val="18"/>
      <w:szCs w:val="18"/>
      <w:u w:color="000000"/>
      <w:lang w:val="en-US" w:eastAsia="zh-CN" w:bidi="ar-SA"/>
    </w:rPr>
  </w:style>
  <w:style w:type="paragraph" w:customStyle="1" w:styleId="15">
    <w:name w:val="页眉与页脚"/>
    <w:qFormat/>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Neue" w:hAnsi="Helvetica Neue" w:eastAsia="Helvetica Neue" w:cs="Helvetica Neue"/>
      <w:color w:val="000000"/>
      <w:sz w:val="24"/>
      <w:szCs w:val="24"/>
      <w:lang w:val="en-US" w:eastAsia="zh-CN" w:bidi="ar-SA"/>
    </w:rPr>
  </w:style>
  <w:style w:type="paragraph" w:customStyle="1" w:styleId="16">
    <w:name w:val="标准文件_前言、引言标题"/>
    <w:next w:val="1"/>
    <w:qFormat/>
    <w:uiPriority w:val="0"/>
    <w:pPr>
      <w:widowControl w:val="0"/>
      <w:pBdr>
        <w:top w:val="none" w:color="auto" w:sz="0" w:space="0"/>
        <w:left w:val="none" w:color="auto" w:sz="0" w:space="0"/>
        <w:bottom w:val="none" w:color="auto" w:sz="0" w:space="0"/>
        <w:right w:val="none" w:color="auto" w:sz="0" w:space="0"/>
        <w:between w:val="none" w:color="auto" w:sz="0" w:space="0"/>
      </w:pBdr>
      <w:shd w:val="clear" w:color="auto" w:fill="FFFFFF"/>
      <w:spacing w:after="150"/>
      <w:jc w:val="center"/>
      <w:outlineLvl w:val="0"/>
    </w:pPr>
    <w:rPr>
      <w:rFonts w:ascii="黑体" w:hAnsi="黑体" w:eastAsia="黑体" w:cs="黑体"/>
      <w:color w:val="000000"/>
      <w:sz w:val="32"/>
      <w:szCs w:val="32"/>
      <w:u w:color="000000"/>
      <w:lang w:val="en-US" w:eastAsia="zh-CN" w:bidi="ar-SA"/>
    </w:rPr>
  </w:style>
  <w:style w:type="paragraph" w:customStyle="1" w:styleId="17">
    <w:name w:val="标准文件_段"/>
    <w:qFormat/>
    <w:uiPriority w:val="0"/>
    <w:pPr>
      <w:widowControl w:val="0"/>
      <w:pBdr>
        <w:top w:val="none" w:color="auto" w:sz="0" w:space="0"/>
        <w:left w:val="none" w:color="auto" w:sz="0" w:space="0"/>
        <w:bottom w:val="none" w:color="auto" w:sz="0" w:space="0"/>
        <w:right w:val="none" w:color="auto" w:sz="0" w:space="0"/>
        <w:between w:val="none" w:color="auto" w:sz="0" w:space="0"/>
      </w:pBdr>
      <w:ind w:firstLine="200"/>
      <w:jc w:val="both"/>
    </w:pPr>
    <w:rPr>
      <w:rFonts w:hint="eastAsia" w:ascii="Arial Unicode MS" w:hAnsi="Arial Unicode MS" w:eastAsia="宋体" w:cs="Arial Unicode MS"/>
      <w:color w:val="000000"/>
      <w:sz w:val="21"/>
      <w:szCs w:val="21"/>
      <w:u w:color="000000"/>
      <w:lang w:val="en-US" w:eastAsia="zh-CN" w:bidi="ar-SA"/>
    </w:rPr>
  </w:style>
  <w:style w:type="paragraph" w:customStyle="1" w:styleId="18">
    <w:name w:val="默认"/>
    <w:qFormat/>
    <w:uiPriority w:val="0"/>
    <w:pPr>
      <w:pBdr>
        <w:top w:val="none" w:color="auto" w:sz="0" w:space="0"/>
        <w:left w:val="none" w:color="auto" w:sz="0" w:space="0"/>
        <w:bottom w:val="none" w:color="auto" w:sz="0" w:space="0"/>
        <w:right w:val="none" w:color="auto" w:sz="0" w:space="0"/>
        <w:between w:val="none" w:color="auto" w:sz="0" w:space="0"/>
      </w:pBdr>
      <w:spacing w:before="160"/>
    </w:pPr>
    <w:rPr>
      <w:rFonts w:ascii="Helvetica Neue" w:hAnsi="Helvetica Neue" w:eastAsia="Helvetica Neue" w:cs="Helvetica Neue"/>
      <w:color w:val="000000"/>
      <w:sz w:val="24"/>
      <w:szCs w:val="24"/>
      <w:lang w:val="en-US" w:eastAsia="zh-CN" w:bidi="ar-SA"/>
    </w:rPr>
  </w:style>
  <w:style w:type="paragraph" w:customStyle="1" w:styleId="19">
    <w:name w:val="目次、前言、引言"/>
    <w:next w:val="1"/>
    <w:qFormat/>
    <w:uiPriority w:val="0"/>
    <w:pPr>
      <w:widowControl w:val="0"/>
      <w:pBdr>
        <w:top w:val="none" w:color="auto" w:sz="0" w:space="0"/>
        <w:left w:val="none" w:color="auto" w:sz="0" w:space="0"/>
        <w:bottom w:val="none" w:color="auto" w:sz="0" w:space="0"/>
        <w:right w:val="none" w:color="auto" w:sz="0" w:space="0"/>
        <w:between w:val="none" w:color="auto" w:sz="0" w:space="0"/>
      </w:pBdr>
      <w:spacing w:before="851" w:after="680"/>
      <w:jc w:val="center"/>
      <w:outlineLvl w:val="0"/>
    </w:pPr>
    <w:rPr>
      <w:rFonts w:hint="eastAsia" w:ascii="Arial Unicode MS" w:hAnsi="Arial Unicode MS" w:eastAsia="Cambria" w:cs="Arial Unicode MS"/>
      <w:color w:val="000000"/>
      <w:kern w:val="2"/>
      <w:sz w:val="32"/>
      <w:szCs w:val="32"/>
      <w:u w:color="000000"/>
      <w:lang w:val="en-US" w:eastAsia="zh-CN" w:bidi="ar-SA"/>
    </w:rPr>
  </w:style>
  <w:style w:type="paragraph" w:customStyle="1" w:styleId="20">
    <w:name w:val="段"/>
    <w:qFormat/>
    <w:uiPriority w:val="0"/>
    <w:pPr>
      <w:widowControl w:val="0"/>
      <w:pBdr>
        <w:top w:val="none" w:color="auto" w:sz="0" w:space="0"/>
        <w:left w:val="none" w:color="auto" w:sz="0" w:space="0"/>
        <w:bottom w:val="none" w:color="auto" w:sz="0" w:space="0"/>
        <w:right w:val="none" w:color="auto" w:sz="0" w:space="0"/>
        <w:between w:val="none" w:color="auto" w:sz="0" w:space="0"/>
      </w:pBdr>
      <w:ind w:firstLine="200"/>
      <w:jc w:val="both"/>
    </w:pPr>
    <w:rPr>
      <w:rFonts w:hint="eastAsia" w:ascii="Arial Unicode MS" w:hAnsi="Arial Unicode MS" w:eastAsia="宋体" w:cs="Arial Unicode MS"/>
      <w:color w:val="000000"/>
      <w:sz w:val="21"/>
      <w:szCs w:val="21"/>
      <w:u w:color="000000"/>
      <w:lang w:val="en-US" w:eastAsia="zh-CN" w:bidi="ar-SA"/>
    </w:rPr>
  </w:style>
  <w:style w:type="paragraph" w:customStyle="1" w:styleId="21">
    <w:name w:val="标准文件_正文标准名称"/>
    <w:qFormat/>
    <w:uiPriority w:val="0"/>
    <w:pPr>
      <w:widowControl w:val="0"/>
      <w:pBdr>
        <w:top w:val="none" w:color="auto" w:sz="0" w:space="0"/>
        <w:left w:val="none" w:color="auto" w:sz="0" w:space="0"/>
        <w:bottom w:val="none" w:color="auto" w:sz="0" w:space="0"/>
        <w:right w:val="none" w:color="auto" w:sz="0" w:space="0"/>
        <w:between w:val="none" w:color="auto" w:sz="0" w:space="0"/>
      </w:pBdr>
      <w:spacing w:after="640" w:line="400" w:lineRule="exact"/>
      <w:jc w:val="center"/>
    </w:pPr>
    <w:rPr>
      <w:rFonts w:ascii="黑体" w:hAnsi="黑体" w:eastAsia="黑体" w:cs="黑体"/>
      <w:color w:val="000000"/>
      <w:kern w:val="2"/>
      <w:sz w:val="32"/>
      <w:szCs w:val="32"/>
      <w:u w:color="000000"/>
      <w:lang w:val="en-US" w:eastAsia="zh-CN" w:bidi="ar-SA"/>
    </w:rPr>
  </w:style>
  <w:style w:type="paragraph" w:customStyle="1" w:styleId="22">
    <w:name w:val="标准文件_章标题"/>
    <w:next w:val="17"/>
    <w:qFormat/>
    <w:uiPriority w:val="0"/>
    <w:pPr>
      <w:widowControl w:val="0"/>
      <w:pBdr>
        <w:top w:val="none" w:color="auto" w:sz="0" w:space="0"/>
        <w:left w:val="none" w:color="auto" w:sz="0" w:space="0"/>
        <w:bottom w:val="none" w:color="auto" w:sz="0" w:space="0"/>
        <w:right w:val="none" w:color="auto" w:sz="0" w:space="0"/>
        <w:between w:val="none" w:color="auto" w:sz="0" w:space="0"/>
      </w:pBdr>
      <w:spacing w:before="100" w:after="100"/>
      <w:ind w:firstLine="111"/>
      <w:jc w:val="both"/>
      <w:outlineLvl w:val="0"/>
    </w:pPr>
    <w:rPr>
      <w:rFonts w:ascii="黑体" w:hAnsi="黑体" w:eastAsia="黑体" w:cs="黑体"/>
      <w:color w:val="000000"/>
      <w:sz w:val="21"/>
      <w:szCs w:val="21"/>
      <w:u w:color="000000"/>
      <w:lang w:val="en-US" w:eastAsia="zh-CN" w:bidi="ar-SA"/>
    </w:rPr>
  </w:style>
  <w:style w:type="paragraph" w:customStyle="1" w:styleId="23">
    <w:name w:val="22222"/>
    <w:next w:val="1"/>
    <w:qFormat/>
    <w:uiPriority w:val="0"/>
    <w:pPr>
      <w:pBdr>
        <w:top w:val="none" w:color="auto" w:sz="0" w:space="0"/>
        <w:left w:val="none" w:color="auto" w:sz="0" w:space="0"/>
        <w:bottom w:val="none" w:color="auto" w:sz="0" w:space="0"/>
        <w:right w:val="none" w:color="auto" w:sz="0" w:space="0"/>
        <w:between w:val="none" w:color="auto" w:sz="0" w:space="0"/>
      </w:pBdr>
      <w:spacing w:before="460" w:after="460"/>
      <w:ind w:left="993"/>
      <w:jc w:val="both"/>
      <w:outlineLvl w:val="0"/>
    </w:pPr>
    <w:rPr>
      <w:rFonts w:ascii="宋体" w:hAnsi="宋体" w:eastAsia="Arial Unicode MS" w:cs="Arial Unicode MS"/>
      <w:color w:val="000000"/>
      <w:sz w:val="21"/>
      <w:szCs w:val="21"/>
      <w:u w:color="000000"/>
      <w:lang w:val="en-US" w:eastAsia="zh-CN" w:bidi="ar-SA"/>
    </w:rPr>
  </w:style>
  <w:style w:type="paragraph" w:customStyle="1" w:styleId="24">
    <w:name w:val="标准文件_术语条一"/>
    <w:next w:val="17"/>
    <w:qFormat/>
    <w:uiPriority w:val="0"/>
    <w:pPr>
      <w:pBdr>
        <w:top w:val="none" w:color="auto" w:sz="0" w:space="0"/>
        <w:left w:val="none" w:color="auto" w:sz="0" w:space="0"/>
        <w:bottom w:val="none" w:color="auto" w:sz="0" w:space="0"/>
        <w:right w:val="none" w:color="auto" w:sz="0" w:space="0"/>
        <w:between w:val="none" w:color="auto" w:sz="0" w:space="0"/>
      </w:pBdr>
      <w:ind w:firstLine="111"/>
      <w:jc w:val="both"/>
    </w:pPr>
    <w:rPr>
      <w:rFonts w:ascii="宋体" w:hAnsi="宋体" w:eastAsia="宋体" w:cs="宋体"/>
      <w:color w:val="000000"/>
      <w:sz w:val="21"/>
      <w:szCs w:val="21"/>
      <w:u w:color="000000"/>
      <w:lang w:val="en-US" w:eastAsia="zh-CN" w:bidi="ar-SA"/>
    </w:rPr>
  </w:style>
  <w:style w:type="paragraph" w:customStyle="1" w:styleId="25">
    <w:name w:val="正正正正"/>
    <w:qFormat/>
    <w:uiPriority w:val="0"/>
    <w:pPr>
      <w:widowControl w:val="0"/>
      <w:pBdr>
        <w:top w:val="none" w:color="auto" w:sz="0" w:space="0"/>
        <w:left w:val="none" w:color="auto" w:sz="0" w:space="0"/>
        <w:bottom w:val="none" w:color="auto" w:sz="0" w:space="0"/>
        <w:right w:val="none" w:color="auto" w:sz="0" w:space="0"/>
        <w:between w:val="none" w:color="auto" w:sz="0" w:space="0"/>
      </w:pBdr>
      <w:ind w:firstLine="420"/>
      <w:jc w:val="both"/>
    </w:pPr>
    <w:rPr>
      <w:rFonts w:hint="eastAsia" w:ascii="Arial Unicode MS" w:hAnsi="Arial Unicode MS" w:eastAsia="宋体" w:cs="Arial Unicode MS"/>
      <w:color w:val="000000"/>
      <w:kern w:val="2"/>
      <w:sz w:val="21"/>
      <w:szCs w:val="21"/>
      <w:u w:color="000000"/>
      <w:lang w:val="en-US" w:eastAsia="zh-CN" w:bidi="ar-SA"/>
    </w:rPr>
  </w:style>
  <w:style w:type="paragraph" w:customStyle="1" w:styleId="26">
    <w:name w:val="标准文件_三级无标题"/>
    <w:qFormat/>
    <w:uiPriority w:val="0"/>
    <w:pPr>
      <w:pBdr>
        <w:top w:val="none" w:color="auto" w:sz="0" w:space="0"/>
        <w:left w:val="none" w:color="auto" w:sz="0" w:space="0"/>
        <w:bottom w:val="none" w:color="auto" w:sz="0" w:space="0"/>
        <w:right w:val="none" w:color="auto" w:sz="0" w:space="0"/>
        <w:between w:val="none" w:color="auto" w:sz="0" w:space="0"/>
      </w:pBdr>
      <w:ind w:firstLine="111"/>
      <w:jc w:val="both"/>
    </w:pPr>
    <w:rPr>
      <w:rFonts w:ascii="宋体" w:hAnsi="宋体" w:eastAsia="宋体" w:cs="宋体"/>
      <w:color w:val="000000"/>
      <w:sz w:val="21"/>
      <w:szCs w:val="21"/>
      <w:u w:color="000000"/>
      <w:lang w:val="en-US" w:eastAsia="zh-CN" w:bidi="ar-SA"/>
    </w:rPr>
  </w:style>
  <w:style w:type="character" w:customStyle="1" w:styleId="27">
    <w:name w:val="批注文字 字符"/>
    <w:basedOn w:val="8"/>
    <w:link w:val="4"/>
    <w:semiHidden/>
    <w:qFormat/>
    <w:uiPriority w:val="99"/>
    <w:rPr>
      <w:rFonts w:cs="Arial Unicode MS"/>
      <w:color w:val="000000"/>
      <w:kern w:val="2"/>
      <w:sz w:val="21"/>
      <w:szCs w:val="21"/>
      <w:u w:color="000000"/>
    </w:rPr>
  </w:style>
  <w:style w:type="character" w:customStyle="1" w:styleId="28">
    <w:name w:val="批注主题 字符"/>
    <w:basedOn w:val="27"/>
    <w:link w:val="6"/>
    <w:semiHidden/>
    <w:qFormat/>
    <w:uiPriority w:val="99"/>
    <w:rPr>
      <w:rFonts w:cs="Arial Unicode MS"/>
      <w:b/>
      <w:bCs/>
      <w:color w:val="000000"/>
      <w:kern w:val="2"/>
      <w:sz w:val="21"/>
      <w:szCs w:val="21"/>
      <w:u w:color="00000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黑体"/>
        <a:cs typeface="Helvetica Neue"/>
      </a:majorFont>
      <a:minorFont>
        <a:latin typeface="Helvetica Neue"/>
        <a:ea typeface="宋体"/>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5366</Words>
  <Characters>5907</Characters>
  <Lines>31</Lines>
  <Paragraphs>8</Paragraphs>
  <TotalTime>361</TotalTime>
  <ScaleCrop>false</ScaleCrop>
  <LinksUpToDate>false</LinksUpToDate>
  <CharactersWithSpaces>6037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2023-07-09T20:09:00Z</dcterms:created>
  <dc:creator>Data</dc:creator>
  <cp:lastModifiedBy>阳焰</cp:lastModifiedBy>
  <dcterms:modified xsi:type="dcterms:W3CDTF">2024-08-06T06:40:11Z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2AF4CB515DD9415999C64CF545E146E4_13</vt:lpwstr>
  </property>
</Properties>
</file>