
<file path=[Content_Types].xml><?xml version="1.0" encoding="utf-8"?>
<Types xmlns="http://schemas.openxmlformats.org/package/2006/content-types">
  <Default Extension="wmf" ContentType="image/x-wmf"/>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30"/>
          <w:szCs w:val="30"/>
        </w:rPr>
      </w:pPr>
    </w:p>
    <w:p>
      <w:pPr>
        <w:spacing w:line="288" w:lineRule="auto"/>
        <w:jc w:val="center"/>
        <w:rPr>
          <w:rFonts w:hint="eastAsia" w:ascii="方正公文小标宋" w:hAnsi="方正公文小标宋" w:eastAsia="方正公文小标宋" w:cs="方正公文小标宋"/>
          <w:b w:val="0"/>
          <w:bCs/>
          <w:sz w:val="44"/>
          <w:szCs w:val="44"/>
        </w:rPr>
      </w:pPr>
      <w:r>
        <w:rPr>
          <w:rFonts w:hint="eastAsia" w:asciiTheme="majorEastAsia" w:hAnsiTheme="majorEastAsia" w:eastAsiaTheme="majorEastAsia" w:cstheme="majorEastAsia"/>
          <w:b/>
          <w:bCs w:val="0"/>
          <w:sz w:val="44"/>
          <w:szCs w:val="44"/>
        </w:rPr>
        <w:t>中国出入境检验检疫协会团体标准</w:t>
      </w:r>
    </w:p>
    <w:p>
      <w:pPr>
        <w:spacing w:line="288" w:lineRule="auto"/>
        <w:jc w:val="center"/>
        <w:rPr>
          <w:b/>
          <w:sz w:val="52"/>
          <w:szCs w:val="52"/>
        </w:rPr>
      </w:pPr>
    </w:p>
    <w:p>
      <w:pPr>
        <w:spacing w:line="288" w:lineRule="auto"/>
        <w:jc w:val="center"/>
        <w:rPr>
          <w:rFonts w:hint="eastAsia" w:hAnsi="宋体"/>
          <w:b/>
          <w:sz w:val="52"/>
          <w:szCs w:val="52"/>
        </w:rPr>
      </w:pPr>
      <w:r>
        <w:rPr>
          <w:rFonts w:hint="eastAsia" w:asciiTheme="majorEastAsia" w:hAnsiTheme="majorEastAsia" w:eastAsiaTheme="majorEastAsia" w:cstheme="majorEastAsia"/>
          <w:b/>
          <w:sz w:val="48"/>
          <w:szCs w:val="48"/>
        </w:rPr>
        <w:t>《船用生物燃料油》</w:t>
      </w:r>
    </w:p>
    <w:p>
      <w:pPr>
        <w:spacing w:line="288" w:lineRule="auto"/>
        <w:rPr>
          <w:szCs w:val="24"/>
        </w:rPr>
      </w:pPr>
    </w:p>
    <w:p>
      <w:pPr>
        <w:spacing w:line="288" w:lineRule="auto"/>
        <w:rPr>
          <w:szCs w:val="24"/>
        </w:rPr>
      </w:pPr>
    </w:p>
    <w:p>
      <w:pPr>
        <w:spacing w:line="288" w:lineRule="auto"/>
        <w:rPr>
          <w:szCs w:val="24"/>
        </w:rPr>
      </w:pPr>
    </w:p>
    <w:p>
      <w:pPr>
        <w:jc w:val="center"/>
        <w:rPr>
          <w:rFonts w:hint="eastAsia" w:ascii="Times New Roman" w:hAnsi="Times New Roman" w:eastAsia="黑体"/>
          <w:sz w:val="36"/>
          <w:szCs w:val="44"/>
        </w:rPr>
      </w:pPr>
      <w:r>
        <w:rPr>
          <w:rFonts w:hint="eastAsia" w:ascii="Times New Roman" w:hAnsi="Times New Roman" w:eastAsia="黑体"/>
          <w:sz w:val="36"/>
          <w:szCs w:val="44"/>
        </w:rPr>
        <w:t>（征求意见稿）</w:t>
      </w:r>
    </w:p>
    <w:p>
      <w:pPr>
        <w:spacing w:line="288" w:lineRule="auto"/>
        <w:rPr>
          <w:szCs w:val="24"/>
        </w:rPr>
      </w:pPr>
    </w:p>
    <w:p>
      <w:pPr>
        <w:spacing w:line="288" w:lineRule="auto"/>
        <w:rPr>
          <w:szCs w:val="24"/>
        </w:rPr>
      </w:pPr>
    </w:p>
    <w:p>
      <w:pPr>
        <w:spacing w:line="288" w:lineRule="auto"/>
        <w:rPr>
          <w:sz w:val="48"/>
          <w:szCs w:val="48"/>
        </w:rPr>
      </w:pPr>
      <w:bookmarkStart w:id="0" w:name="_GoBack"/>
      <w:bookmarkEnd w:id="0"/>
    </w:p>
    <w:p>
      <w:pPr>
        <w:spacing w:line="288" w:lineRule="auto"/>
        <w:rPr>
          <w:sz w:val="48"/>
          <w:szCs w:val="48"/>
        </w:rPr>
      </w:pPr>
    </w:p>
    <w:p>
      <w:pPr>
        <w:spacing w:line="288" w:lineRule="auto"/>
        <w:jc w:val="center"/>
        <w:rPr>
          <w:rFonts w:hint="eastAsia" w:asciiTheme="majorEastAsia" w:hAnsiTheme="majorEastAsia" w:eastAsiaTheme="majorEastAsia" w:cstheme="majorEastAsia"/>
          <w:b/>
          <w:sz w:val="48"/>
          <w:szCs w:val="48"/>
        </w:rPr>
      </w:pPr>
      <w:r>
        <w:rPr>
          <w:rFonts w:hint="eastAsia" w:asciiTheme="majorEastAsia" w:hAnsiTheme="majorEastAsia" w:eastAsiaTheme="majorEastAsia" w:cstheme="majorEastAsia"/>
          <w:b/>
          <w:sz w:val="48"/>
          <w:szCs w:val="48"/>
        </w:rPr>
        <w:t>编制说明</w:t>
      </w:r>
    </w:p>
    <w:p>
      <w:pPr>
        <w:spacing w:line="288" w:lineRule="auto"/>
        <w:rPr>
          <w:szCs w:val="24"/>
        </w:rPr>
      </w:pPr>
    </w:p>
    <w:p>
      <w:pPr>
        <w:spacing w:line="288" w:lineRule="auto"/>
        <w:rPr>
          <w:szCs w:val="24"/>
        </w:rPr>
      </w:pPr>
    </w:p>
    <w:p>
      <w:pPr>
        <w:spacing w:line="288" w:lineRule="auto"/>
        <w:rPr>
          <w:szCs w:val="24"/>
        </w:rPr>
      </w:pPr>
    </w:p>
    <w:p>
      <w:pPr>
        <w:spacing w:line="288" w:lineRule="auto"/>
        <w:rPr>
          <w:szCs w:val="24"/>
        </w:rPr>
      </w:pPr>
    </w:p>
    <w:p>
      <w:pPr>
        <w:spacing w:line="288" w:lineRule="auto"/>
        <w:rPr>
          <w:szCs w:val="24"/>
        </w:rPr>
      </w:pPr>
    </w:p>
    <w:p>
      <w:pPr>
        <w:spacing w:line="288" w:lineRule="auto"/>
        <w:rPr>
          <w:szCs w:val="24"/>
        </w:rPr>
      </w:pPr>
    </w:p>
    <w:p>
      <w:pPr>
        <w:spacing w:line="288" w:lineRule="auto"/>
        <w:jc w:val="center"/>
        <w:rPr>
          <w:b/>
          <w:szCs w:val="28"/>
        </w:rPr>
      </w:pPr>
    </w:p>
    <w:p>
      <w:pPr>
        <w:spacing w:line="288" w:lineRule="auto"/>
        <w:jc w:val="center"/>
        <w:rPr>
          <w:rFonts w:hint="eastAsia" w:asciiTheme="minorEastAsia" w:hAnsiTheme="minorEastAsia" w:eastAsiaTheme="minorEastAsia" w:cstheme="minorEastAsia"/>
          <w:b/>
          <w:sz w:val="30"/>
          <w:szCs w:val="30"/>
        </w:rPr>
      </w:pPr>
      <w:r>
        <w:rPr>
          <w:rFonts w:hint="eastAsia" w:asciiTheme="minorEastAsia" w:hAnsiTheme="minorEastAsia" w:eastAsiaTheme="minorEastAsia" w:cstheme="minorEastAsia"/>
          <w:b/>
          <w:sz w:val="30"/>
          <w:szCs w:val="30"/>
        </w:rPr>
        <w:t>标准起草小组</w:t>
      </w:r>
    </w:p>
    <w:p>
      <w:pPr>
        <w:spacing w:line="360" w:lineRule="auto"/>
        <w:jc w:val="center"/>
        <w:rPr>
          <w:rFonts w:hint="eastAsia" w:asciiTheme="minorEastAsia" w:hAnsiTheme="minorEastAsia" w:eastAsiaTheme="minorEastAsia" w:cstheme="minorEastAsia"/>
          <w:b/>
          <w:sz w:val="30"/>
          <w:szCs w:val="30"/>
        </w:rPr>
      </w:pPr>
      <w:r>
        <w:rPr>
          <w:rFonts w:hint="eastAsia" w:asciiTheme="minorEastAsia" w:hAnsiTheme="minorEastAsia" w:eastAsiaTheme="minorEastAsia" w:cstheme="minorEastAsia"/>
          <w:b/>
          <w:sz w:val="30"/>
          <w:szCs w:val="30"/>
        </w:rPr>
        <w:t>二O二</w:t>
      </w:r>
      <w:r>
        <w:rPr>
          <w:rFonts w:hint="eastAsia" w:asciiTheme="minorEastAsia" w:hAnsiTheme="minorEastAsia" w:eastAsiaTheme="minorEastAsia" w:cstheme="minorEastAsia"/>
          <w:b/>
          <w:sz w:val="30"/>
          <w:szCs w:val="30"/>
          <w:lang w:eastAsia="zh-CN"/>
        </w:rPr>
        <w:t>四</w:t>
      </w:r>
      <w:r>
        <w:rPr>
          <w:rFonts w:hint="eastAsia" w:asciiTheme="minorEastAsia" w:hAnsiTheme="minorEastAsia" w:eastAsiaTheme="minorEastAsia" w:cstheme="minorEastAsia"/>
          <w:b/>
          <w:sz w:val="30"/>
          <w:szCs w:val="30"/>
        </w:rPr>
        <w:t>年</w:t>
      </w:r>
      <w:r>
        <w:rPr>
          <w:rFonts w:hint="eastAsia" w:asciiTheme="minorEastAsia" w:hAnsiTheme="minorEastAsia" w:eastAsiaTheme="minorEastAsia" w:cstheme="minorEastAsia"/>
          <w:b/>
          <w:sz w:val="30"/>
          <w:szCs w:val="30"/>
          <w:lang w:eastAsia="zh-CN"/>
        </w:rPr>
        <w:t>五</w:t>
      </w:r>
      <w:r>
        <w:rPr>
          <w:rFonts w:hint="eastAsia" w:asciiTheme="minorEastAsia" w:hAnsiTheme="minorEastAsia" w:eastAsiaTheme="minorEastAsia" w:cstheme="minorEastAsia"/>
          <w:b/>
          <w:sz w:val="30"/>
          <w:szCs w:val="30"/>
        </w:rPr>
        <w:t>月</w:t>
      </w:r>
    </w:p>
    <w:p>
      <w:pPr>
        <w:jc w:val="center"/>
        <w:rPr>
          <w:rFonts w:hint="eastAsia"/>
          <w:b/>
          <w:bCs/>
          <w:sz w:val="30"/>
          <w:szCs w:val="30"/>
        </w:rPr>
      </w:pPr>
    </w:p>
    <w:p>
      <w:pPr>
        <w:jc w:val="center"/>
        <w:rPr>
          <w:rFonts w:hint="eastAsia"/>
          <w:b/>
          <w:bCs/>
          <w:sz w:val="30"/>
          <w:szCs w:val="30"/>
        </w:rPr>
      </w:pPr>
    </w:p>
    <w:p>
      <w:pPr>
        <w:jc w:val="center"/>
        <w:rPr>
          <w:rFonts w:hint="eastAsia"/>
          <w:b/>
          <w:bCs/>
          <w:sz w:val="30"/>
          <w:szCs w:val="30"/>
        </w:rPr>
      </w:pPr>
    </w:p>
    <w:p>
      <w:pPr>
        <w:jc w:val="center"/>
      </w:pPr>
    </w:p>
    <w:p>
      <w:pPr>
        <w:jc w:val="center"/>
      </w:pPr>
    </w:p>
    <w:p>
      <w:pPr>
        <w:jc w:val="center"/>
      </w:pPr>
    </w:p>
    <w:p>
      <w:pPr>
        <w:numPr>
          <w:ilvl w:val="0"/>
          <w:numId w:val="1"/>
        </w:numPr>
      </w:pPr>
      <w:r>
        <w:rPr>
          <w:rFonts w:hint="eastAsia"/>
        </w:rPr>
        <w:t>任务来源</w:t>
      </w:r>
    </w:p>
    <w:p>
      <w:pPr>
        <w:spacing w:line="360" w:lineRule="auto"/>
        <w:ind w:firstLine="420" w:firstLineChars="200"/>
        <w:rPr>
          <w:rFonts w:ascii="宋体" w:hAnsi="宋体" w:eastAsia="宋体" w:cs="宋体"/>
        </w:rPr>
      </w:pPr>
      <w:r>
        <w:rPr>
          <w:rFonts w:hint="eastAsia" w:ascii="宋体" w:hAnsi="宋体" w:eastAsia="宋体" w:cs="宋体"/>
        </w:rPr>
        <w:t>2024年3月5日，中国出入境检验检疫协会通过《船用生物燃料油》团体标准立项申请，立项号：P/CIQA -166-2024.。立项批复后，标准制定工作将进入起草、征求意见和技术审查阶段。</w:t>
      </w:r>
    </w:p>
    <w:p/>
    <w:p/>
    <w:p>
      <w:r>
        <w:rPr>
          <w:rFonts w:hint="eastAsia"/>
        </w:rPr>
        <w:t>二、制标的必要性</w:t>
      </w:r>
    </w:p>
    <w:p>
      <w:pPr>
        <w:spacing w:line="360" w:lineRule="auto"/>
        <w:ind w:firstLine="420" w:firstLineChars="200"/>
        <w:rPr>
          <w:rFonts w:ascii="宋体" w:hAnsi="宋体" w:eastAsia="宋体" w:cs="宋体"/>
        </w:rPr>
      </w:pPr>
      <w:r>
        <w:rPr>
          <w:rFonts w:hint="eastAsia" w:ascii="宋体" w:hAnsi="宋体" w:eastAsia="宋体" w:cs="宋体"/>
        </w:rPr>
        <w:t>满足减碳需求。中国在第75届联合国大会提出碳达峰碳中和的双碳战略目标。国际海事组织（IMO）也于 2023年 7月通过了船舶温室气体(GHG)减排战略，明确应尽快实现国际航运温室气体排放达峰，2050年现净零排放。低碳/零碳燃料成为航运业减排必然选择。欧盟委员会提出了55%减排目标，并拟颁布碳税交易系统和欧盟海运燃料法案。该法规规定船舶使用的能源全生命周期（WtW）的温室气体排放强度逐步递减的要求,达不到标准，就要交罚金。生物燃料油减碳效果好，是航运业降碳的重要路径。根据国际海事组织指南，可减少至少65%的温室气体排放（化石 MGO的WTW排放量为 94gCO2eq/MJ，减少65%为不超过33 gCO2e/MJ），将被认为是可持续的。生物柴油（UCOME, 厨余废油提炼而成):排放强度一般在 9—18 CO2eq /MJ，符合可持续要求并具有良好的减排效果。</w:t>
      </w:r>
    </w:p>
    <w:p>
      <w:pPr>
        <w:spacing w:line="360" w:lineRule="auto"/>
        <w:ind w:firstLine="420" w:firstLineChars="200"/>
        <w:rPr>
          <w:rFonts w:ascii="宋体" w:hAnsi="宋体" w:eastAsia="宋体" w:cs="宋体"/>
        </w:rPr>
      </w:pPr>
      <w:r>
        <w:rPr>
          <w:rFonts w:hint="eastAsia" w:ascii="宋体" w:hAnsi="宋体" w:eastAsia="宋体" w:cs="宋体"/>
        </w:rPr>
        <w:t>提升经济效益。生物燃料油由低硫燃料油和生物柴油按比例调和。常见的品种为B24生物燃料油（生物柴油：低硫燃料=24%：76%）和B20生物燃料油及B30生物燃料油。生物燃料油的减碳能力和价格主要取决于生物柴油的调和成分，成分越高的生物燃料油能减越多的碳，但价格也就跟随着升高。生物燃料油市场需求量大，2022年鹿特丹和新加坡全年的生物燃料油供应量在93万吨左右。新加坡今年1-8月份超过23万吨，并呈现快速增长的态势。欧美区也有稳定的月供应量。出于经济性目的，B20到B30是市场的主流品种，但目前国内外未有对船用生物燃料油的质量要求作出明确的界定和规范。</w:t>
      </w:r>
    </w:p>
    <w:p>
      <w:pPr>
        <w:spacing w:line="360" w:lineRule="auto"/>
        <w:ind w:firstLine="420" w:firstLineChars="200"/>
        <w:rPr>
          <w:rFonts w:ascii="宋体" w:hAnsi="宋体" w:eastAsia="宋体" w:cs="宋体"/>
        </w:rPr>
      </w:pPr>
      <w:r>
        <w:rPr>
          <w:rFonts w:hint="eastAsia" w:ascii="宋体" w:hAnsi="宋体" w:eastAsia="宋体" w:cs="宋体"/>
        </w:rPr>
        <w:t>全球尤其是欧洲减碳政策导致其对生物燃料油的需求巨大，本土生物柴油产量难以满足需求，部分依赖进口。中国的生物柴油主要是采用废弃油脂生产的生物柴油(UCOME），减碳的效果最为突出。根据USDA公布的数据显示，2021年欧盟生物柴油销售量1,452万吨，产量1,385万吨，进口量267万吨。从进口地区来看，阿根廷（33%）、中国（31%）、马来西亚（18%）成为欧盟生物柴油主要进口国家。规范船用生物燃料油的质量标准，对我国航运业控制减碳成本、出口生物燃料油贸易发展所带来的经济效益，都有重要促进的作用。</w:t>
      </w:r>
    </w:p>
    <w:p>
      <w:pPr>
        <w:spacing w:line="360" w:lineRule="auto"/>
        <w:ind w:firstLine="420" w:firstLineChars="200"/>
        <w:rPr>
          <w:rFonts w:ascii="宋体" w:hAnsi="宋体" w:eastAsia="宋体" w:cs="宋体"/>
        </w:rPr>
      </w:pPr>
      <w:r>
        <w:rPr>
          <w:rFonts w:hint="eastAsia" w:ascii="宋体" w:hAnsi="宋体" w:eastAsia="宋体" w:cs="宋体"/>
        </w:rPr>
        <w:t>2022年IMO通告MEPC.1/Circ.795/Rev.7-MARPOL附则VI的统一解释中，明确说明生物燃料或合成燃料体积混合不超过30%时（且允许10%的误差），不需要再次进行评估；2013年IMO通告MEPC.1／Circ.905-《经修正的2011年石油及生物燃料混合物运输指南》中对运输体积混合大于25%的生物燃料作出了规定。两个通告均没有对具体脂肪酸甲酯含量进行划分。</w:t>
      </w:r>
    </w:p>
    <w:p>
      <w:pPr>
        <w:spacing w:line="360" w:lineRule="auto"/>
        <w:ind w:firstLine="420" w:firstLineChars="200"/>
        <w:rPr>
          <w:rFonts w:ascii="宋体" w:hAnsi="宋体" w:eastAsia="宋体" w:cs="宋体"/>
        </w:rPr>
      </w:pPr>
      <w:r>
        <w:rPr>
          <w:rFonts w:hint="eastAsia" w:ascii="宋体" w:hAnsi="宋体" w:eastAsia="宋体" w:cs="宋体"/>
        </w:rPr>
        <w:t>结合IMO组织的规定及实际生产应用。我们选取对脂肪酸甲酯质量百分比含量20%、24%、30%的生物燃料B20、B24、B30样品进行分析研究，同时结合台架试验数据（台架试验包括测试B15、B24、B30、B50相关数据，已与本项目同期开展），对各种标号的生物燃料油作出质量规范，从而建立标准化的生物燃料油的产品质量标准，对推动我国生物燃料油行业出口贸易、提升港口服务能力、促进航运业的发展有重要意义。</w:t>
      </w:r>
    </w:p>
    <w:p>
      <w:pPr>
        <w:ind w:firstLine="420" w:firstLineChars="200"/>
      </w:pPr>
    </w:p>
    <w:p/>
    <w:p>
      <w:r>
        <w:rPr>
          <w:rFonts w:hint="eastAsia"/>
        </w:rPr>
        <w:t>三、主要工作过程</w:t>
      </w:r>
    </w:p>
    <w:p>
      <w:pPr>
        <w:spacing w:line="360" w:lineRule="auto"/>
      </w:pPr>
      <w:r>
        <w:rPr>
          <w:rFonts w:hint="eastAsia"/>
        </w:rPr>
        <w:t xml:space="preserve">   在起草标准前，收集大量船用残渣燃料油及BD100生物柴油样品，样品主要来源于中海油，中石油，中石化，以及民营炼厂，根据目前国内外船用生物燃料油的应用情况以及相关的法规要求，确定船用生物燃料油的牌号为B20，B24，B30，B50，采用上述收集的原料对不同牌号的样品进行混调，并进行实验室化验以及台架试验，根据生物燃料的使用特性，其主要功能就是作为燃料，因此基本项目确定的准则就是依据GB 17411-2015的项目进行化验，同时由于生物燃料是混兑了生物柴油的，为了表现其特性，需要对脂肪酸甲酯进行化验。通过一系列实验数据以及相关的资料，确定船用生物燃料油的检验项目及指标值。</w:t>
      </w:r>
    </w:p>
    <w:p/>
    <w:p/>
    <w:p>
      <w:r>
        <w:rPr>
          <w:rFonts w:hint="eastAsia"/>
        </w:rPr>
        <w:t>四、主要参加单位和工作成员</w:t>
      </w:r>
    </w:p>
    <w:p>
      <w:pPr>
        <w:spacing w:line="360" w:lineRule="auto"/>
        <w:ind w:firstLine="420" w:firstLineChars="200"/>
        <w:rPr>
          <w:rFonts w:ascii="宋体" w:hAnsi="宋体" w:eastAsia="宋体" w:cs="宋体"/>
          <w:szCs w:val="21"/>
        </w:rPr>
      </w:pPr>
      <w:r>
        <w:rPr>
          <w:rFonts w:hint="eastAsia" w:ascii="宋体" w:hAnsi="宋体" w:eastAsia="宋体" w:cs="宋体"/>
          <w:szCs w:val="21"/>
        </w:rPr>
        <w:t>广州海关技术中心，中石化中海船舶燃料供应有限公司，深圳市朗坤环境集团股份有限公司，中国船舶燃料有限责任公司，上海海事大学，中远海运散货运输有限公司</w:t>
      </w:r>
    </w:p>
    <w:p/>
    <w:p>
      <w:r>
        <w:rPr>
          <w:rFonts w:hint="eastAsia"/>
        </w:rPr>
        <w:t>五、起草分工</w:t>
      </w:r>
    </w:p>
    <w:p>
      <w:pPr>
        <w:spacing w:line="360" w:lineRule="auto"/>
        <w:ind w:firstLine="420" w:firstLineChars="200"/>
        <w:rPr>
          <w:rFonts w:ascii="宋体" w:hAnsi="宋体" w:eastAsia="宋体" w:cs="宋体"/>
          <w:szCs w:val="21"/>
        </w:rPr>
      </w:pPr>
      <w:r>
        <w:rPr>
          <w:rFonts w:hint="eastAsia" w:ascii="宋体" w:hAnsi="宋体" w:eastAsia="宋体" w:cs="宋体"/>
          <w:szCs w:val="21"/>
        </w:rPr>
        <w:t>在起草标准过程中，中石化中海船舶燃料供应有限公司负责标准方法的设计、探索及优化，广州海关主要负责标准文本草拟、实验及数据统计，上海海事大学负责台架试验，深圳市朗坤环境集团股份有限公司提供生物柴油原料，中国船舶燃料有限责任公司及中远海运散货运输有限公司负责实船验证试验。</w:t>
      </w:r>
    </w:p>
    <w:p>
      <w:pPr>
        <w:spacing w:line="360" w:lineRule="auto"/>
        <w:rPr>
          <w:rFonts w:ascii="宋体" w:hAnsi="宋体" w:eastAsia="宋体" w:cs="宋体"/>
          <w:szCs w:val="21"/>
        </w:rPr>
      </w:pPr>
    </w:p>
    <w:p/>
    <w:p/>
    <w:p>
      <w:r>
        <w:rPr>
          <w:rFonts w:hint="eastAsia"/>
        </w:rPr>
        <w:t>六、主要技术内容</w:t>
      </w:r>
    </w:p>
    <w:p>
      <w:pPr>
        <w:spacing w:line="560" w:lineRule="exact"/>
        <w:ind w:firstLine="420" w:firstLineChars="200"/>
      </w:pPr>
      <w:r>
        <w:rPr>
          <w:rFonts w:hint="eastAsia"/>
        </w:rPr>
        <w:t>本文件在制定过程中依据GB/T 1.1-2000《标准化工作导则》中的各项规定，力求所修订标准符合规范化和标准化要求。</w:t>
      </w:r>
    </w:p>
    <w:p>
      <w:pPr>
        <w:spacing w:line="560" w:lineRule="exact"/>
        <w:ind w:firstLine="420" w:firstLineChars="200"/>
      </w:pPr>
      <w:r>
        <w:rPr>
          <w:rFonts w:hint="eastAsia"/>
        </w:rPr>
        <w:t>标准制定组通过大量的调研和实验室化验数据，确定了主要技术内容。</w:t>
      </w:r>
    </w:p>
    <w:p>
      <w:pPr>
        <w:rPr>
          <w:rFonts w:eastAsia="宋体"/>
        </w:rPr>
      </w:pPr>
    </w:p>
    <w:p>
      <w:pPr>
        <w:spacing w:line="360" w:lineRule="auto"/>
        <w:rPr>
          <w:rFonts w:eastAsia="宋体"/>
          <w:b/>
          <w:bCs/>
        </w:rPr>
      </w:pPr>
      <w:r>
        <w:rPr>
          <w:rFonts w:hint="eastAsia"/>
          <w:b/>
          <w:bCs/>
        </w:rPr>
        <w:t>（一）样品的选择与确定</w:t>
      </w:r>
    </w:p>
    <w:p>
      <w:pPr>
        <w:spacing w:line="360" w:lineRule="auto"/>
        <w:ind w:firstLine="420"/>
        <w:rPr>
          <w:rFonts w:ascii="宋体" w:hAnsi="宋体"/>
        </w:rPr>
      </w:pPr>
      <w:r>
        <w:rPr>
          <w:rFonts w:hint="eastAsia" w:ascii="宋体" w:hAnsi="宋体"/>
        </w:rPr>
        <w:t>船用生物燃料油是指使用生物质能源作为船舶行驶的燃料，通常以常规船用燃料油和BD100生物柴油按比例调和而成。常见的船用生物燃料油品种为B24船用生物燃料油（即24%BD100生物柴油与76%低硫燃料油调和而成）。本文件选取了由中海油，中石油，中石化以及一家民营炼厂提供的船用残渣燃料油以及由深圳市朗坤环境集团股份有限公司提供的BD100生物柴油作为原料，调配出生物柴油比例为B15,B20,B24,B30,B50五种牌号的船用生物燃料油进行试验。试验的基本原则是基于GB 17411-2015的基本项目，同时增加脂肪酸甲酯含量的测定。</w:t>
      </w:r>
    </w:p>
    <w:p>
      <w:pPr>
        <w:spacing w:line="360" w:lineRule="auto"/>
        <w:ind w:firstLine="420"/>
        <w:rPr>
          <w:rFonts w:ascii="宋体" w:hAnsi="宋体"/>
        </w:rPr>
      </w:pPr>
      <w:r>
        <w:rPr>
          <w:rFonts w:hint="eastAsia" w:ascii="宋体" w:hAnsi="宋体"/>
        </w:rPr>
        <w:t>其中各原料的检测数据如下（表1及表2）：</w:t>
      </w:r>
    </w:p>
    <w:p>
      <w:pPr>
        <w:spacing w:line="360" w:lineRule="auto"/>
        <w:ind w:firstLine="420"/>
        <w:jc w:val="center"/>
        <w:rPr>
          <w:rFonts w:ascii="宋体" w:hAnsi="宋体"/>
        </w:rPr>
      </w:pPr>
      <w:r>
        <w:rPr>
          <w:rFonts w:hint="eastAsia" w:ascii="宋体" w:hAnsi="宋体"/>
        </w:rPr>
        <w:t>表1 原料BD100结果汇总</w:t>
      </w:r>
    </w:p>
    <w:tbl>
      <w:tblPr>
        <w:tblStyle w:val="4"/>
        <w:tblW w:w="8660" w:type="dxa"/>
        <w:tblInd w:w="96" w:type="dxa"/>
        <w:tblLayout w:type="autofit"/>
        <w:tblCellMar>
          <w:top w:w="0" w:type="dxa"/>
          <w:left w:w="108" w:type="dxa"/>
          <w:bottom w:w="0" w:type="dxa"/>
          <w:right w:w="108" w:type="dxa"/>
        </w:tblCellMar>
      </w:tblPr>
      <w:tblGrid>
        <w:gridCol w:w="835"/>
        <w:gridCol w:w="2926"/>
        <w:gridCol w:w="1700"/>
        <w:gridCol w:w="1251"/>
        <w:gridCol w:w="1948"/>
      </w:tblGrid>
      <w:tr>
        <w:tblPrEx>
          <w:tblCellMar>
            <w:top w:w="0" w:type="dxa"/>
            <w:left w:w="108" w:type="dxa"/>
            <w:bottom w:w="0" w:type="dxa"/>
            <w:right w:w="108" w:type="dxa"/>
          </w:tblCellMar>
        </w:tblPrEx>
        <w:trPr>
          <w:trHeight w:val="528" w:hRule="atLeast"/>
        </w:trPr>
        <w:tc>
          <w:tcPr>
            <w:tcW w:w="8660" w:type="dxa"/>
            <w:gridSpan w:val="5"/>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BD100结果汇总</w:t>
            </w:r>
          </w:p>
        </w:tc>
      </w:tr>
      <w:tr>
        <w:tblPrEx>
          <w:tblCellMar>
            <w:top w:w="0" w:type="dxa"/>
            <w:left w:w="108" w:type="dxa"/>
            <w:bottom w:w="0" w:type="dxa"/>
            <w:right w:w="108" w:type="dxa"/>
          </w:tblCellMar>
        </w:tblPrEx>
        <w:trPr>
          <w:trHeight w:val="429" w:hRule="atLeast"/>
        </w:trPr>
        <w:tc>
          <w:tcPr>
            <w:tcW w:w="0" w:type="auto"/>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序号</w:t>
            </w:r>
          </w:p>
        </w:tc>
        <w:tc>
          <w:tcPr>
            <w:tcW w:w="0" w:type="auto"/>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检测项目</w:t>
            </w:r>
          </w:p>
        </w:tc>
        <w:tc>
          <w:tcPr>
            <w:tcW w:w="0" w:type="auto"/>
            <w:tcBorders>
              <w:top w:val="single" w:color="000000" w:sz="4" w:space="0"/>
              <w:left w:val="single" w:color="000000" w:sz="4" w:space="0"/>
              <w:bottom w:val="single" w:color="000000" w:sz="4" w:space="0"/>
              <w:right w:val="nil"/>
            </w:tcBorders>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结果</w:t>
            </w:r>
          </w:p>
        </w:tc>
        <w:tc>
          <w:tcPr>
            <w:tcW w:w="0" w:type="auto"/>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单位</w:t>
            </w:r>
          </w:p>
        </w:tc>
        <w:tc>
          <w:tcPr>
            <w:tcW w:w="0" w:type="auto"/>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检测方法</w:t>
            </w:r>
          </w:p>
        </w:tc>
      </w:tr>
      <w:tr>
        <w:tblPrEx>
          <w:tblCellMar>
            <w:top w:w="0" w:type="dxa"/>
            <w:left w:w="108" w:type="dxa"/>
            <w:bottom w:w="0" w:type="dxa"/>
            <w:right w:w="108" w:type="dxa"/>
          </w:tblCellMar>
        </w:tblPrEx>
        <w:trPr>
          <w:trHeight w:val="728" w:hRule="atLeast"/>
        </w:trPr>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b/>
                <w:bCs/>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b/>
                <w:bCs/>
                <w:color w:val="000000"/>
                <w:sz w:val="22"/>
                <w:szCs w:val="22"/>
              </w:rPr>
            </w:pPr>
          </w:p>
        </w:tc>
        <w:tc>
          <w:tcPr>
            <w:tcW w:w="16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样品1(朗坤)KY-1</w:t>
            </w:r>
          </w:p>
        </w:tc>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b/>
                <w:bCs/>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b/>
                <w:bCs/>
                <w:color w:val="000000"/>
                <w:sz w:val="22"/>
                <w:szCs w:val="22"/>
              </w:rPr>
            </w:pPr>
          </w:p>
        </w:tc>
      </w:tr>
      <w:tr>
        <w:tblPrEx>
          <w:tblCellMar>
            <w:top w:w="0" w:type="dxa"/>
            <w:left w:w="108" w:type="dxa"/>
            <w:bottom w:w="0" w:type="dxa"/>
            <w:right w:w="108" w:type="dxa"/>
          </w:tblCellMar>
        </w:tblPrEx>
        <w:trPr>
          <w:trHeight w:val="45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密度20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874.8</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kg/m</w:t>
            </w:r>
            <w:r>
              <w:rPr>
                <w:rFonts w:hint="eastAsia" w:ascii="宋体" w:hAnsi="宋体" w:eastAsia="宋体" w:cs="宋体"/>
                <w:color w:val="000000"/>
                <w:kern w:val="0"/>
                <w:sz w:val="22"/>
                <w:szCs w:val="22"/>
                <w:vertAlign w:val="superscript"/>
                <w:lang w:bidi="ar"/>
              </w:rPr>
              <w:t>3</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SH/T 0604</w:t>
            </w:r>
          </w:p>
        </w:tc>
      </w:tr>
      <w:tr>
        <w:tblPrEx>
          <w:tblCellMar>
            <w:top w:w="0" w:type="dxa"/>
            <w:left w:w="108" w:type="dxa"/>
            <w:bottom w:w="0" w:type="dxa"/>
            <w:right w:w="108" w:type="dxa"/>
          </w:tblCellMar>
        </w:tblPrEx>
        <w:trPr>
          <w:trHeight w:val="45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粘度40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4.321</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mm</w:t>
            </w:r>
            <w:r>
              <w:rPr>
                <w:rFonts w:hint="eastAsia" w:ascii="宋体" w:hAnsi="宋体" w:eastAsia="宋体" w:cs="宋体"/>
                <w:color w:val="000000"/>
                <w:kern w:val="0"/>
                <w:sz w:val="22"/>
                <w:szCs w:val="22"/>
                <w:vertAlign w:val="superscript"/>
                <w:lang w:bidi="ar"/>
              </w:rPr>
              <w:t>2</w:t>
            </w:r>
            <w:r>
              <w:rPr>
                <w:rFonts w:hint="eastAsia" w:ascii="宋体" w:hAnsi="宋体" w:eastAsia="宋体" w:cs="宋体"/>
                <w:color w:val="000000"/>
                <w:kern w:val="0"/>
                <w:sz w:val="22"/>
                <w:szCs w:val="22"/>
                <w:lang w:bidi="ar"/>
              </w:rPr>
              <w:t>/s</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30515</w:t>
            </w:r>
          </w:p>
        </w:tc>
      </w:tr>
      <w:tr>
        <w:tblPrEx>
          <w:tblCellMar>
            <w:top w:w="0" w:type="dxa"/>
            <w:left w:w="108" w:type="dxa"/>
            <w:bottom w:w="0" w:type="dxa"/>
            <w:right w:w="108" w:type="dxa"/>
          </w:tblCellMar>
        </w:tblPrEx>
        <w:trPr>
          <w:trHeight w:val="45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闪点（闭口）</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146.0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261</w:t>
            </w:r>
          </w:p>
        </w:tc>
      </w:tr>
      <w:tr>
        <w:tblPrEx>
          <w:tblCellMar>
            <w:top w:w="0" w:type="dxa"/>
            <w:left w:w="108" w:type="dxa"/>
            <w:bottom w:w="0" w:type="dxa"/>
            <w:right w:w="108" w:type="dxa"/>
          </w:tblCellMar>
        </w:tblPrEx>
        <w:trPr>
          <w:trHeight w:val="45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冷滤点</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SH/T 0248</w:t>
            </w:r>
          </w:p>
        </w:tc>
      </w:tr>
      <w:tr>
        <w:tblPrEx>
          <w:tblCellMar>
            <w:top w:w="0" w:type="dxa"/>
            <w:left w:w="108" w:type="dxa"/>
            <w:bottom w:w="0" w:type="dxa"/>
            <w:right w:w="108" w:type="dxa"/>
          </w:tblCellMar>
        </w:tblPrEx>
        <w:trPr>
          <w:trHeight w:val="45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硫含量</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8.3</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mg/kg</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SH/T 0689</w:t>
            </w:r>
          </w:p>
        </w:tc>
      </w:tr>
      <w:tr>
        <w:tblPrEx>
          <w:tblCellMar>
            <w:top w:w="0" w:type="dxa"/>
            <w:left w:w="108" w:type="dxa"/>
            <w:bottom w:w="0" w:type="dxa"/>
            <w:right w:w="108" w:type="dxa"/>
          </w:tblCellMar>
        </w:tblPrEx>
        <w:trPr>
          <w:trHeight w:val="45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残炭</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0.01</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17144</w:t>
            </w:r>
          </w:p>
        </w:tc>
      </w:tr>
      <w:tr>
        <w:tblPrEx>
          <w:tblCellMar>
            <w:top w:w="0" w:type="dxa"/>
            <w:left w:w="108" w:type="dxa"/>
            <w:bottom w:w="0" w:type="dxa"/>
            <w:right w:w="108" w:type="dxa"/>
          </w:tblCellMar>
        </w:tblPrEx>
        <w:trPr>
          <w:trHeight w:val="45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硫酸盐灰分</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0.001</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2433</w:t>
            </w:r>
          </w:p>
        </w:tc>
      </w:tr>
      <w:tr>
        <w:tblPrEx>
          <w:tblCellMar>
            <w:top w:w="0" w:type="dxa"/>
            <w:left w:w="108" w:type="dxa"/>
            <w:bottom w:w="0" w:type="dxa"/>
            <w:right w:w="108" w:type="dxa"/>
          </w:tblCellMar>
        </w:tblPrEx>
        <w:trPr>
          <w:trHeight w:val="45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水分</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痕迹</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11133</w:t>
            </w:r>
          </w:p>
        </w:tc>
      </w:tr>
      <w:tr>
        <w:tblPrEx>
          <w:tblCellMar>
            <w:top w:w="0" w:type="dxa"/>
            <w:left w:w="108" w:type="dxa"/>
            <w:bottom w:w="0" w:type="dxa"/>
            <w:right w:w="108" w:type="dxa"/>
          </w:tblCellMar>
        </w:tblPrEx>
        <w:trPr>
          <w:trHeight w:val="45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机械杂质</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无</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511</w:t>
            </w:r>
          </w:p>
        </w:tc>
      </w:tr>
      <w:tr>
        <w:tblPrEx>
          <w:tblCellMar>
            <w:top w:w="0" w:type="dxa"/>
            <w:left w:w="108" w:type="dxa"/>
            <w:bottom w:w="0" w:type="dxa"/>
            <w:right w:w="108" w:type="dxa"/>
          </w:tblCellMar>
        </w:tblPrEx>
        <w:trPr>
          <w:trHeight w:val="45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铜片腐蚀（50℃/3h）</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1a</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级</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5096</w:t>
            </w:r>
          </w:p>
        </w:tc>
      </w:tr>
      <w:tr>
        <w:tblPrEx>
          <w:tblCellMar>
            <w:top w:w="0" w:type="dxa"/>
            <w:left w:w="108" w:type="dxa"/>
            <w:bottom w:w="0" w:type="dxa"/>
            <w:right w:w="108" w:type="dxa"/>
          </w:tblCellMar>
        </w:tblPrEx>
        <w:trPr>
          <w:trHeight w:val="45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11</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十六烷值</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72.4</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386</w:t>
            </w:r>
          </w:p>
        </w:tc>
      </w:tr>
      <w:tr>
        <w:tblPrEx>
          <w:tblCellMar>
            <w:top w:w="0" w:type="dxa"/>
            <w:left w:w="108" w:type="dxa"/>
            <w:bottom w:w="0" w:type="dxa"/>
            <w:right w:w="108" w:type="dxa"/>
          </w:tblCellMar>
        </w:tblPrEx>
        <w:trPr>
          <w:trHeight w:val="45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12</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氧化安定性（110℃）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0.4</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h</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NB/SH/T 0825</w:t>
            </w:r>
          </w:p>
        </w:tc>
      </w:tr>
      <w:tr>
        <w:tblPrEx>
          <w:tblCellMar>
            <w:top w:w="0" w:type="dxa"/>
            <w:left w:w="108" w:type="dxa"/>
            <w:bottom w:w="0" w:type="dxa"/>
            <w:right w:w="108" w:type="dxa"/>
          </w:tblCellMar>
        </w:tblPrEx>
        <w:trPr>
          <w:trHeight w:val="45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13</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酸值</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0.40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mgKOH/g</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7304</w:t>
            </w:r>
          </w:p>
        </w:tc>
      </w:tr>
      <w:tr>
        <w:tblPrEx>
          <w:tblCellMar>
            <w:top w:w="0" w:type="dxa"/>
            <w:left w:w="108" w:type="dxa"/>
            <w:bottom w:w="0" w:type="dxa"/>
            <w:right w:w="108" w:type="dxa"/>
          </w:tblCellMar>
        </w:tblPrEx>
        <w:trPr>
          <w:trHeight w:val="489"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17</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钠</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＜0.21</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mg/kg</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ASTM D7111</w:t>
            </w:r>
          </w:p>
        </w:tc>
      </w:tr>
      <w:tr>
        <w:tblPrEx>
          <w:tblCellMar>
            <w:top w:w="0" w:type="dxa"/>
            <w:left w:w="108" w:type="dxa"/>
            <w:bottom w:w="0" w:type="dxa"/>
            <w:right w:w="108" w:type="dxa"/>
          </w:tblCellMar>
        </w:tblPrEx>
        <w:trPr>
          <w:trHeight w:val="489"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18</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钾</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＜0.19</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mg/kg</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ASTM D7111</w:t>
            </w:r>
          </w:p>
        </w:tc>
      </w:tr>
      <w:tr>
        <w:tblPrEx>
          <w:tblCellMar>
            <w:top w:w="0" w:type="dxa"/>
            <w:left w:w="108" w:type="dxa"/>
            <w:bottom w:w="0" w:type="dxa"/>
            <w:right w:w="108" w:type="dxa"/>
          </w:tblCellMar>
        </w:tblPrEx>
        <w:trPr>
          <w:trHeight w:val="489"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19</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钙</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＜0.10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mg/kg</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ASTM D7111</w:t>
            </w:r>
          </w:p>
        </w:tc>
      </w:tr>
      <w:tr>
        <w:tblPrEx>
          <w:tblCellMar>
            <w:top w:w="0" w:type="dxa"/>
            <w:left w:w="108" w:type="dxa"/>
            <w:bottom w:w="0" w:type="dxa"/>
            <w:right w:w="108" w:type="dxa"/>
          </w:tblCellMar>
        </w:tblPrEx>
        <w:trPr>
          <w:trHeight w:val="489"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镁</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＜0.10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mg/kg</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ASTM D7111</w:t>
            </w:r>
          </w:p>
        </w:tc>
      </w:tr>
      <w:tr>
        <w:tblPrEx>
          <w:tblCellMar>
            <w:top w:w="0" w:type="dxa"/>
            <w:left w:w="108" w:type="dxa"/>
            <w:bottom w:w="0" w:type="dxa"/>
            <w:right w:w="108" w:type="dxa"/>
          </w:tblCellMar>
        </w:tblPrEx>
        <w:trPr>
          <w:trHeight w:val="489"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21</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磷</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＜0.20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mg/kg</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ASTM D7111</w:t>
            </w:r>
          </w:p>
        </w:tc>
      </w:tr>
      <w:tr>
        <w:tblPrEx>
          <w:tblCellMar>
            <w:top w:w="0" w:type="dxa"/>
            <w:left w:w="108" w:type="dxa"/>
            <w:bottom w:w="0" w:type="dxa"/>
            <w:right w:w="108" w:type="dxa"/>
          </w:tblCellMar>
        </w:tblPrEx>
        <w:trPr>
          <w:trHeight w:val="619"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22</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脂肪酸甲酯含量</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r>
              <w:rPr>
                <w:rFonts w:hint="eastAsia" w:ascii="宋体" w:hAnsi="宋体" w:eastAsia="宋体" w:cs="宋体"/>
                <w:color w:val="000000"/>
                <w:sz w:val="22"/>
                <w:szCs w:val="22"/>
              </w:rPr>
              <w:t>98.2</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r>
              <w:rPr>
                <w:rFonts w:hint="eastAsia" w:ascii="宋体" w:hAnsi="宋体" w:eastAsia="宋体" w:cs="宋体"/>
                <w:color w:val="000000"/>
                <w:sz w:val="22"/>
                <w:szCs w:val="22"/>
              </w:rPr>
              <w:t>气质法</w:t>
            </w:r>
          </w:p>
        </w:tc>
      </w:tr>
    </w:tbl>
    <w:p>
      <w:pPr>
        <w:ind w:firstLine="420"/>
        <w:jc w:val="center"/>
        <w:rPr>
          <w:rFonts w:ascii="宋体" w:hAnsi="宋体"/>
        </w:rPr>
      </w:pPr>
    </w:p>
    <w:p>
      <w:pPr>
        <w:ind w:firstLine="420"/>
        <w:jc w:val="center"/>
        <w:rPr>
          <w:rFonts w:ascii="宋体" w:hAnsi="宋体"/>
        </w:rPr>
      </w:pPr>
      <w:r>
        <w:rPr>
          <w:rFonts w:hint="eastAsia" w:ascii="宋体" w:hAnsi="宋体"/>
        </w:rPr>
        <w:t>表2 原料船用残渣燃料油结果汇总</w:t>
      </w:r>
    </w:p>
    <w:tbl>
      <w:tblPr>
        <w:tblStyle w:val="4"/>
        <w:tblW w:w="8800" w:type="dxa"/>
        <w:tblInd w:w="96" w:type="dxa"/>
        <w:tblLayout w:type="autofit"/>
        <w:tblCellMar>
          <w:top w:w="0" w:type="dxa"/>
          <w:left w:w="108" w:type="dxa"/>
          <w:bottom w:w="0" w:type="dxa"/>
          <w:right w:w="108" w:type="dxa"/>
        </w:tblCellMar>
      </w:tblPr>
      <w:tblGrid>
        <w:gridCol w:w="658"/>
        <w:gridCol w:w="1811"/>
        <w:gridCol w:w="876"/>
        <w:gridCol w:w="876"/>
        <w:gridCol w:w="876"/>
        <w:gridCol w:w="876"/>
        <w:gridCol w:w="986"/>
        <w:gridCol w:w="2306"/>
      </w:tblGrid>
      <w:tr>
        <w:tblPrEx>
          <w:tblCellMar>
            <w:top w:w="0" w:type="dxa"/>
            <w:left w:w="108" w:type="dxa"/>
            <w:bottom w:w="0" w:type="dxa"/>
            <w:right w:w="108" w:type="dxa"/>
          </w:tblCellMar>
        </w:tblPrEx>
        <w:trPr>
          <w:trHeight w:val="639" w:hRule="atLeast"/>
        </w:trPr>
        <w:tc>
          <w:tcPr>
            <w:tcW w:w="0" w:type="auto"/>
            <w:gridSpan w:val="8"/>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燃料油结果汇总</w:t>
            </w:r>
          </w:p>
        </w:tc>
      </w:tr>
      <w:tr>
        <w:tblPrEx>
          <w:tblCellMar>
            <w:top w:w="0" w:type="dxa"/>
            <w:left w:w="108" w:type="dxa"/>
            <w:bottom w:w="0" w:type="dxa"/>
            <w:right w:w="108" w:type="dxa"/>
          </w:tblCellMar>
        </w:tblPrEx>
        <w:trPr>
          <w:trHeight w:val="437" w:hRule="atLeast"/>
        </w:trPr>
        <w:tc>
          <w:tcPr>
            <w:tcW w:w="0" w:type="auto"/>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序号</w:t>
            </w:r>
          </w:p>
        </w:tc>
        <w:tc>
          <w:tcPr>
            <w:tcW w:w="0" w:type="auto"/>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检测项目</w:t>
            </w:r>
          </w:p>
        </w:tc>
        <w:tc>
          <w:tcPr>
            <w:tcW w:w="0" w:type="auto"/>
            <w:gridSpan w:val="4"/>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结果</w:t>
            </w:r>
          </w:p>
        </w:tc>
        <w:tc>
          <w:tcPr>
            <w:tcW w:w="0" w:type="auto"/>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单位</w:t>
            </w:r>
          </w:p>
        </w:tc>
        <w:tc>
          <w:tcPr>
            <w:tcW w:w="0" w:type="auto"/>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检测方法</w:t>
            </w:r>
          </w:p>
        </w:tc>
      </w:tr>
      <w:tr>
        <w:tblPrEx>
          <w:tblCellMar>
            <w:top w:w="0" w:type="dxa"/>
            <w:left w:w="108" w:type="dxa"/>
            <w:bottom w:w="0" w:type="dxa"/>
            <w:right w:w="108" w:type="dxa"/>
          </w:tblCellMar>
        </w:tblPrEx>
        <w:trPr>
          <w:trHeight w:val="1408" w:hRule="atLeast"/>
        </w:trPr>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b/>
                <w:bCs/>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b/>
                <w:bCs/>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样品2（中海油）KY-2</w:t>
            </w: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样品3（中石油）KY-3</w:t>
            </w: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样品4（中石化）KY-4</w:t>
            </w: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样品5（民营）KY-5</w:t>
            </w:r>
          </w:p>
        </w:tc>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b/>
                <w:bCs/>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b/>
                <w:bCs/>
                <w:color w:val="000000"/>
                <w:sz w:val="22"/>
                <w:szCs w:val="22"/>
              </w:rPr>
            </w:pPr>
          </w:p>
        </w:tc>
      </w:tr>
      <w:tr>
        <w:tblPrEx>
          <w:tblCellMar>
            <w:top w:w="0" w:type="dxa"/>
            <w:left w:w="108" w:type="dxa"/>
            <w:bottom w:w="0" w:type="dxa"/>
            <w:right w:w="108" w:type="dxa"/>
          </w:tblCellMar>
        </w:tblPrEx>
        <w:trPr>
          <w:trHeight w:val="48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运动粘度50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143.4</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172.8</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136.6</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171.6</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mm</w:t>
            </w:r>
            <w:r>
              <w:rPr>
                <w:rFonts w:hint="eastAsia" w:ascii="宋体" w:hAnsi="宋体" w:eastAsia="宋体" w:cs="宋体"/>
                <w:color w:val="000000"/>
                <w:kern w:val="0"/>
                <w:sz w:val="22"/>
                <w:szCs w:val="22"/>
                <w:vertAlign w:val="superscript"/>
                <w:lang w:bidi="ar"/>
              </w:rPr>
              <w:t>2</w:t>
            </w:r>
            <w:r>
              <w:rPr>
                <w:rFonts w:hint="eastAsia" w:ascii="宋体" w:hAnsi="宋体" w:eastAsia="宋体" w:cs="宋体"/>
                <w:color w:val="000000"/>
                <w:kern w:val="0"/>
                <w:sz w:val="22"/>
                <w:szCs w:val="22"/>
                <w:lang w:bidi="ar"/>
              </w:rPr>
              <w:t>/s</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30515</w:t>
            </w:r>
          </w:p>
        </w:tc>
      </w:tr>
      <w:tr>
        <w:tblPrEx>
          <w:tblCellMar>
            <w:top w:w="0" w:type="dxa"/>
            <w:left w:w="108" w:type="dxa"/>
            <w:bottom w:w="0" w:type="dxa"/>
            <w:right w:w="108" w:type="dxa"/>
          </w:tblCellMar>
        </w:tblPrEx>
        <w:trPr>
          <w:trHeight w:val="48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密度15</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953.4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947.2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943.0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988.2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kg/m</w:t>
            </w:r>
            <w:r>
              <w:rPr>
                <w:rFonts w:hint="eastAsia" w:ascii="宋体" w:hAnsi="宋体" w:eastAsia="宋体" w:cs="宋体"/>
                <w:color w:val="000000"/>
                <w:kern w:val="0"/>
                <w:sz w:val="22"/>
                <w:szCs w:val="22"/>
                <w:vertAlign w:val="superscript"/>
                <w:lang w:bidi="ar"/>
              </w:rPr>
              <w:t>3</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SH/T 0604</w:t>
            </w:r>
          </w:p>
        </w:tc>
      </w:tr>
      <w:tr>
        <w:tblPrEx>
          <w:tblCellMar>
            <w:top w:w="0" w:type="dxa"/>
            <w:left w:w="108" w:type="dxa"/>
            <w:bottom w:w="0" w:type="dxa"/>
            <w:right w:w="108" w:type="dxa"/>
          </w:tblCellMar>
        </w:tblPrEx>
        <w:trPr>
          <w:trHeight w:val="48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密度20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950.0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943.8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939.6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984.8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kg/m</w:t>
            </w:r>
            <w:r>
              <w:rPr>
                <w:rFonts w:hint="eastAsia" w:ascii="宋体" w:hAnsi="宋体" w:eastAsia="宋体" w:cs="宋体"/>
                <w:color w:val="000000"/>
                <w:kern w:val="0"/>
                <w:sz w:val="22"/>
                <w:szCs w:val="22"/>
                <w:vertAlign w:val="superscript"/>
                <w:lang w:bidi="ar"/>
              </w:rPr>
              <w:t>3</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SH/T 0604</w:t>
            </w:r>
          </w:p>
        </w:tc>
      </w:tr>
      <w:tr>
        <w:tblPrEx>
          <w:tblCellMar>
            <w:top w:w="0" w:type="dxa"/>
            <w:left w:w="108" w:type="dxa"/>
            <w:bottom w:w="0" w:type="dxa"/>
            <w:right w:w="108" w:type="dxa"/>
          </w:tblCellMar>
        </w:tblPrEx>
        <w:trPr>
          <w:trHeight w:val="71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碳芳香指数CCAI</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825</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817</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815</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858</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 17411-2015附录F</w:t>
            </w:r>
          </w:p>
        </w:tc>
      </w:tr>
      <w:tr>
        <w:tblPrEx>
          <w:tblCellMar>
            <w:top w:w="0" w:type="dxa"/>
            <w:left w:w="108" w:type="dxa"/>
            <w:bottom w:w="0" w:type="dxa"/>
            <w:right w:w="108" w:type="dxa"/>
          </w:tblCellMar>
        </w:tblPrEx>
        <w:trPr>
          <w:trHeight w:val="48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硫含量</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0.428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0.470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0.404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0.439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17040</w:t>
            </w:r>
          </w:p>
        </w:tc>
      </w:tr>
      <w:tr>
        <w:tblPrEx>
          <w:tblCellMar>
            <w:top w:w="0" w:type="dxa"/>
            <w:left w:w="108" w:type="dxa"/>
            <w:bottom w:w="0" w:type="dxa"/>
            <w:right w:w="108" w:type="dxa"/>
          </w:tblCellMar>
        </w:tblPrEx>
        <w:trPr>
          <w:trHeight w:val="48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闪点（闭口）</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111.0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94.0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90.0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97.0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261</w:t>
            </w:r>
          </w:p>
        </w:tc>
      </w:tr>
      <w:tr>
        <w:tblPrEx>
          <w:tblCellMar>
            <w:top w:w="0" w:type="dxa"/>
            <w:left w:w="108" w:type="dxa"/>
            <w:bottom w:w="0" w:type="dxa"/>
            <w:right w:w="108" w:type="dxa"/>
          </w:tblCellMar>
        </w:tblPrEx>
        <w:trPr>
          <w:trHeight w:val="71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硫化氢</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＜0.60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＜0.60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＜0.60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＜0.60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mg/kg</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IP 570</w:t>
            </w:r>
          </w:p>
        </w:tc>
      </w:tr>
      <w:tr>
        <w:tblPrEx>
          <w:tblCellMar>
            <w:top w:w="0" w:type="dxa"/>
            <w:left w:w="108" w:type="dxa"/>
            <w:bottom w:w="0" w:type="dxa"/>
            <w:right w:w="108" w:type="dxa"/>
          </w:tblCellMar>
        </w:tblPrEx>
        <w:trPr>
          <w:trHeight w:val="71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酸值</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1.04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1.00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0.14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1.22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mgKOH/g</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7304</w:t>
            </w:r>
          </w:p>
        </w:tc>
      </w:tr>
      <w:tr>
        <w:tblPrEx>
          <w:tblCellMar>
            <w:top w:w="0" w:type="dxa"/>
            <w:left w:w="108" w:type="dxa"/>
            <w:bottom w:w="0" w:type="dxa"/>
            <w:right w:w="108" w:type="dxa"/>
          </w:tblCellMar>
        </w:tblPrEx>
        <w:trPr>
          <w:trHeight w:val="71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总沉淀物</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＜0.01</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＜0.01</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0.01</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0.01</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SH/T 0702</w:t>
            </w:r>
          </w:p>
        </w:tc>
      </w:tr>
      <w:tr>
        <w:tblPrEx>
          <w:tblCellMar>
            <w:top w:w="0" w:type="dxa"/>
            <w:left w:w="108" w:type="dxa"/>
            <w:bottom w:w="0" w:type="dxa"/>
            <w:right w:w="108" w:type="dxa"/>
          </w:tblCellMar>
        </w:tblPrEx>
        <w:trPr>
          <w:trHeight w:val="48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残炭</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7.18</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7.87</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8.28</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9.07</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17144</w:t>
            </w:r>
          </w:p>
        </w:tc>
      </w:tr>
      <w:tr>
        <w:tblPrEx>
          <w:tblCellMar>
            <w:top w:w="0" w:type="dxa"/>
            <w:left w:w="108" w:type="dxa"/>
            <w:bottom w:w="0" w:type="dxa"/>
            <w:right w:w="108" w:type="dxa"/>
          </w:tblCellMar>
        </w:tblPrEx>
        <w:trPr>
          <w:trHeight w:val="48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11</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倾点</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-12</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12</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3535</w:t>
            </w:r>
          </w:p>
        </w:tc>
      </w:tr>
      <w:tr>
        <w:tblPrEx>
          <w:tblCellMar>
            <w:top w:w="0" w:type="dxa"/>
            <w:left w:w="108" w:type="dxa"/>
            <w:bottom w:w="0" w:type="dxa"/>
            <w:right w:w="108" w:type="dxa"/>
          </w:tblCellMar>
        </w:tblPrEx>
        <w:trPr>
          <w:trHeight w:val="48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12</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水分</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0.41</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0.12</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0.12</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0.07</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11133</w:t>
            </w:r>
          </w:p>
        </w:tc>
      </w:tr>
      <w:tr>
        <w:tblPrEx>
          <w:tblCellMar>
            <w:top w:w="0" w:type="dxa"/>
            <w:left w:w="108" w:type="dxa"/>
            <w:bottom w:w="0" w:type="dxa"/>
            <w:right w:w="108" w:type="dxa"/>
          </w:tblCellMar>
        </w:tblPrEx>
        <w:trPr>
          <w:trHeight w:val="48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13</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灰分</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0.048</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0.027</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0.009</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0.034</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508</w:t>
            </w:r>
          </w:p>
        </w:tc>
      </w:tr>
      <w:tr>
        <w:tblPrEx>
          <w:tblCellMar>
            <w:top w:w="0" w:type="dxa"/>
            <w:left w:w="108" w:type="dxa"/>
            <w:bottom w:w="0" w:type="dxa"/>
            <w:right w:w="108" w:type="dxa"/>
          </w:tblCellMar>
        </w:tblPrEx>
        <w:trPr>
          <w:trHeight w:val="48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14</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钒</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12</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w:t>
            </w:r>
          </w:p>
        </w:tc>
        <w:tc>
          <w:tcPr>
            <w:tcW w:w="0" w:type="auto"/>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mg/kg</w:t>
            </w:r>
          </w:p>
        </w:tc>
        <w:tc>
          <w:tcPr>
            <w:tcW w:w="0" w:type="auto"/>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IP 501</w:t>
            </w:r>
          </w:p>
        </w:tc>
      </w:tr>
      <w:tr>
        <w:tblPrEx>
          <w:tblCellMar>
            <w:top w:w="0" w:type="dxa"/>
            <w:left w:w="108" w:type="dxa"/>
            <w:bottom w:w="0" w:type="dxa"/>
            <w:right w:w="108" w:type="dxa"/>
          </w:tblCellMar>
        </w:tblPrEx>
        <w:trPr>
          <w:trHeight w:val="48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15</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钠</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w:t>
            </w:r>
          </w:p>
        </w:tc>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48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16</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铝</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14</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48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17</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硅</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12</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w:t>
            </w:r>
          </w:p>
        </w:tc>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48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18</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钙</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110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76</w:t>
            </w:r>
          </w:p>
        </w:tc>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48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19</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锌</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48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磷</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49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21</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净热值</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40.99</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41.23</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41.34</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40.34</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MJ/kg</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384</w:t>
            </w:r>
          </w:p>
        </w:tc>
      </w:tr>
    </w:tbl>
    <w:p>
      <w:pPr>
        <w:ind w:firstLine="420"/>
        <w:rPr>
          <w:rFonts w:ascii="宋体" w:hAnsi="宋体"/>
        </w:rPr>
      </w:pPr>
    </w:p>
    <w:p>
      <w:pPr>
        <w:spacing w:line="360" w:lineRule="auto"/>
        <w:rPr>
          <w:rFonts w:eastAsia="宋体"/>
          <w:b/>
          <w:bCs/>
        </w:rPr>
      </w:pPr>
      <w:r>
        <w:rPr>
          <w:rFonts w:hint="eastAsia" w:eastAsia="宋体"/>
          <w:b/>
          <w:bCs/>
        </w:rPr>
        <w:t>（二）牌号的选择与确定</w:t>
      </w:r>
    </w:p>
    <w:p>
      <w:pPr>
        <w:spacing w:line="360" w:lineRule="auto"/>
        <w:ind w:firstLine="420"/>
        <w:jc w:val="left"/>
        <w:rPr>
          <w:rFonts w:eastAsia="宋体"/>
        </w:rPr>
      </w:pPr>
      <w:r>
        <w:rPr>
          <w:rFonts w:hint="eastAsia" w:eastAsia="宋体"/>
        </w:rPr>
        <w:t>根据目前船用生物燃料油的使用习惯以及国际海事组织等相关法规的规定，初步确定本文件船用生物燃料油的牌号为B20，B24，B30，B50。本文件选择以上几个牌号作为船用生物燃料油的牌号的依据如下：</w:t>
      </w:r>
    </w:p>
    <w:p>
      <w:pPr>
        <w:spacing w:line="360" w:lineRule="auto"/>
        <w:ind w:firstLine="420"/>
        <w:jc w:val="left"/>
        <w:rPr>
          <w:rFonts w:eastAsia="宋体"/>
        </w:rPr>
      </w:pPr>
      <w:r>
        <w:rPr>
          <w:rFonts w:hint="eastAsia" w:eastAsia="宋体"/>
        </w:rPr>
        <w:t>首先，2023年IMO通告,MEPC.1／Circ.795／Rev.8-MARPOL附则VI；2019年IMO通告MEPC.2／Circ.17-《2019年石油及生物燃料混合物运输指南》中对生物燃料油B24与B30作出限制。但两个通告均没有对具体生物柴油含量和质量要求作出规定。同时，国家能源局文件中也提到推广应用B5/B24生物柴油（燃料油）（见图1）。</w:t>
      </w:r>
    </w:p>
    <w:p>
      <w:pPr>
        <w:spacing w:line="360" w:lineRule="auto"/>
        <w:ind w:firstLine="420"/>
        <w:jc w:val="left"/>
        <w:rPr>
          <w:rFonts w:eastAsia="宋体"/>
        </w:rPr>
      </w:pPr>
      <w:r>
        <w:rPr>
          <w:rFonts w:hint="eastAsia" w:eastAsia="宋体"/>
        </w:rPr>
        <w:t>其次，在应用市场上，目前新加坡有相关的文件支持B20船用生物燃料油的应用。（见图2）</w:t>
      </w:r>
    </w:p>
    <w:p>
      <w:pPr>
        <w:spacing w:line="360" w:lineRule="auto"/>
        <w:ind w:firstLine="420"/>
        <w:jc w:val="left"/>
        <w:rPr>
          <w:rFonts w:eastAsia="宋体"/>
        </w:rPr>
      </w:pPr>
      <w:r>
        <w:rPr>
          <w:rFonts w:hint="eastAsia" w:eastAsia="宋体"/>
        </w:rPr>
        <w:t>而选择B50牌号，主要是根据新加坡《船用生物燃料规范》 （WA 2:2022 Specification for marine biofuel），该规范限制船用生物馏分燃料和船用生物残渣燃料中脂肪酸甲酯的含量均不能超过50% 。根据台架试验结果，B50生物燃料油的使用也是可以满足船舶航行的要求的，然而由于目前市场上并未有B50生物燃料油，因此本文件将B50生物燃料油作为一个推广应用，放在附录中。</w:t>
      </w:r>
    </w:p>
    <w:p>
      <w:pPr>
        <w:spacing w:line="360" w:lineRule="auto"/>
        <w:ind w:firstLine="420"/>
        <w:jc w:val="left"/>
        <w:rPr>
          <w:rFonts w:eastAsia="宋体"/>
        </w:rPr>
      </w:pPr>
      <w:r>
        <w:rPr>
          <w:rFonts w:hint="eastAsia" w:eastAsia="宋体"/>
        </w:rPr>
        <w:t>根据目前的船用残渣燃料油的调和习惯，一般是按照质量比进行调和，同时2019年IMO通告MEPC.2／Circ.17-《2019年石油及生物燃料混合物运输指南》中对B24的界定也是按照质量比。因此本文件中对不同牌号的确定也是根据脂肪酸甲酯含量的质量分数进行确定的。</w:t>
      </w:r>
    </w:p>
    <w:p>
      <w:pPr>
        <w:ind w:firstLine="420"/>
        <w:jc w:val="left"/>
        <w:rPr>
          <w:rFonts w:eastAsia="宋体"/>
        </w:rPr>
      </w:pPr>
    </w:p>
    <w:p>
      <w:pPr>
        <w:ind w:firstLine="420"/>
        <w:jc w:val="left"/>
        <w:rPr>
          <w:rFonts w:eastAsia="宋体"/>
        </w:rPr>
      </w:pPr>
      <w:r>
        <w:drawing>
          <wp:inline distT="0" distB="0" distL="114300" distR="114300">
            <wp:extent cx="5090160" cy="7071360"/>
            <wp:effectExtent l="0" t="0" r="0" b="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4"/>
                    <a:stretch>
                      <a:fillRect/>
                    </a:stretch>
                  </pic:blipFill>
                  <pic:spPr>
                    <a:xfrm>
                      <a:off x="0" y="0"/>
                      <a:ext cx="5090160" cy="7071360"/>
                    </a:xfrm>
                    <a:prstGeom prst="rect">
                      <a:avLst/>
                    </a:prstGeom>
                    <a:noFill/>
                    <a:ln>
                      <a:noFill/>
                    </a:ln>
                  </pic:spPr>
                </pic:pic>
              </a:graphicData>
            </a:graphic>
          </wp:inline>
        </w:drawing>
      </w:r>
    </w:p>
    <w:p>
      <w:pPr>
        <w:rPr>
          <w:rFonts w:eastAsia="宋体"/>
          <w:color w:val="0000FF"/>
        </w:rPr>
      </w:pPr>
      <w:r>
        <w:rPr>
          <w:rFonts w:hint="eastAsia" w:eastAsia="宋体"/>
        </w:rPr>
        <w:t xml:space="preserve">    </w:t>
      </w:r>
    </w:p>
    <w:p>
      <w:pPr>
        <w:rPr>
          <w:rFonts w:eastAsia="宋体"/>
        </w:rPr>
      </w:pPr>
      <w:r>
        <w:rPr>
          <w:rFonts w:hint="eastAsia" w:eastAsia="宋体"/>
        </w:rPr>
        <w:t xml:space="preserve">                </w:t>
      </w:r>
      <w:r>
        <w:drawing>
          <wp:inline distT="0" distB="0" distL="114300" distR="114300">
            <wp:extent cx="5189220" cy="7086600"/>
            <wp:effectExtent l="0" t="0" r="7620" b="0"/>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pic:cNvPicPr>
                  </pic:nvPicPr>
                  <pic:blipFill>
                    <a:blip r:embed="rId5"/>
                    <a:stretch>
                      <a:fillRect/>
                    </a:stretch>
                  </pic:blipFill>
                  <pic:spPr>
                    <a:xfrm>
                      <a:off x="0" y="0"/>
                      <a:ext cx="5189220" cy="7086600"/>
                    </a:xfrm>
                    <a:prstGeom prst="rect">
                      <a:avLst/>
                    </a:prstGeom>
                    <a:noFill/>
                    <a:ln>
                      <a:noFill/>
                    </a:ln>
                  </pic:spPr>
                </pic:pic>
              </a:graphicData>
            </a:graphic>
          </wp:inline>
        </w:drawing>
      </w:r>
    </w:p>
    <w:p>
      <w:pPr>
        <w:rPr>
          <w:rFonts w:ascii="黑体" w:hAnsi="黑体" w:eastAsia="黑体" w:cs="黑体"/>
          <w:color w:val="FF0000"/>
        </w:rPr>
      </w:pPr>
    </w:p>
    <w:p>
      <w:pPr>
        <w:jc w:val="center"/>
        <w:rPr>
          <w:rFonts w:ascii="黑体" w:hAnsi="黑体" w:eastAsia="黑体" w:cs="黑体"/>
        </w:rPr>
      </w:pPr>
      <w:r>
        <w:rPr>
          <w:rFonts w:hint="eastAsia" w:ascii="黑体" w:hAnsi="黑体" w:eastAsia="黑体" w:cs="黑体"/>
        </w:rPr>
        <w:t>图1 国家能源局关于组织开展生物柴油推广应用试点示范的通知</w:t>
      </w:r>
    </w:p>
    <w:p>
      <w:pPr>
        <w:rPr>
          <w:rFonts w:eastAsia="宋体"/>
          <w:color w:val="FF0000"/>
        </w:rPr>
      </w:pPr>
    </w:p>
    <w:p>
      <w:r>
        <w:drawing>
          <wp:inline distT="0" distB="0" distL="114300" distR="114300">
            <wp:extent cx="5273675" cy="7458710"/>
            <wp:effectExtent l="0" t="0" r="14605" b="889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6"/>
                    <a:stretch>
                      <a:fillRect/>
                    </a:stretch>
                  </pic:blipFill>
                  <pic:spPr>
                    <a:xfrm>
                      <a:off x="0" y="0"/>
                      <a:ext cx="5273675" cy="7458710"/>
                    </a:xfrm>
                    <a:prstGeom prst="rect">
                      <a:avLst/>
                    </a:prstGeom>
                    <a:noFill/>
                    <a:ln>
                      <a:noFill/>
                    </a:ln>
                  </pic:spPr>
                </pic:pic>
              </a:graphicData>
            </a:graphic>
          </wp:inline>
        </w:drawing>
      </w:r>
    </w:p>
    <w:p/>
    <w:p>
      <w:pPr>
        <w:jc w:val="center"/>
      </w:pPr>
      <w:r>
        <w:rPr>
          <w:rFonts w:hint="eastAsia" w:ascii="黑体" w:hAnsi="黑体" w:eastAsia="黑体" w:cs="黑体"/>
        </w:rPr>
        <w:t>图2 新加坡B20应用证明</w:t>
      </w:r>
    </w:p>
    <w:p>
      <w:pPr>
        <w:spacing w:line="360" w:lineRule="auto"/>
        <w:rPr>
          <w:rFonts w:eastAsia="宋体"/>
          <w:color w:val="FF0000"/>
        </w:rPr>
      </w:pPr>
    </w:p>
    <w:p>
      <w:pPr>
        <w:spacing w:line="360" w:lineRule="auto"/>
        <w:rPr>
          <w:rFonts w:eastAsia="宋体"/>
          <w:color w:val="FF0000"/>
        </w:rPr>
      </w:pPr>
    </w:p>
    <w:p>
      <w:pPr>
        <w:spacing w:line="360" w:lineRule="auto"/>
        <w:rPr>
          <w:rFonts w:eastAsia="宋体"/>
          <w:color w:val="FF0000"/>
        </w:rPr>
      </w:pPr>
    </w:p>
    <w:p>
      <w:pPr>
        <w:spacing w:line="360" w:lineRule="auto"/>
        <w:rPr>
          <w:rFonts w:eastAsia="宋体"/>
          <w:b/>
          <w:bCs/>
        </w:rPr>
      </w:pPr>
      <w:r>
        <w:rPr>
          <w:rFonts w:hint="eastAsia" w:eastAsia="宋体"/>
          <w:b/>
          <w:bCs/>
        </w:rPr>
        <w:t>（三）生物燃料稳定性的验证</w:t>
      </w:r>
    </w:p>
    <w:p>
      <w:pPr>
        <w:spacing w:line="360" w:lineRule="auto"/>
        <w:ind w:firstLine="420" w:firstLineChars="200"/>
        <w:rPr>
          <w:rFonts w:eastAsia="宋体"/>
        </w:rPr>
      </w:pPr>
      <w:r>
        <w:rPr>
          <w:rFonts w:eastAsia="宋体"/>
        </w:rPr>
        <w:t>按质量比例20:80,调合B20生物燃料样15个：1个按GB17411-2015做关键指标；10个分两组，1组常温存放，另一组放模拟船舶油柜，在70℃的恒温箱存放，每隔2天（即48小时）每组拿出1个样，测定总加速沉淀物、相容性、重油稳定性和酸值四个指标，比较变化情况；2个按上期所方法检测加速氧化沉淀物（1个即做、1个第10天做）；剩余2个备用。</w:t>
      </w:r>
    </w:p>
    <w:tbl>
      <w:tblPr>
        <w:tblStyle w:val="4"/>
        <w:tblW w:w="10711" w:type="dxa"/>
        <w:tblInd w:w="-570" w:type="dxa"/>
        <w:tblLayout w:type="fixed"/>
        <w:tblCellMar>
          <w:top w:w="0" w:type="dxa"/>
          <w:left w:w="108" w:type="dxa"/>
          <w:bottom w:w="0" w:type="dxa"/>
          <w:right w:w="108" w:type="dxa"/>
        </w:tblCellMar>
      </w:tblPr>
      <w:tblGrid>
        <w:gridCol w:w="2311"/>
        <w:gridCol w:w="1111"/>
        <w:gridCol w:w="1527"/>
        <w:gridCol w:w="1124"/>
        <w:gridCol w:w="1124"/>
        <w:gridCol w:w="1125"/>
        <w:gridCol w:w="1124"/>
        <w:gridCol w:w="1265"/>
      </w:tblGrid>
      <w:tr>
        <w:tblPrEx>
          <w:tblCellMar>
            <w:top w:w="0" w:type="dxa"/>
            <w:left w:w="108" w:type="dxa"/>
            <w:bottom w:w="0" w:type="dxa"/>
            <w:right w:w="108" w:type="dxa"/>
          </w:tblCellMar>
        </w:tblPrEx>
        <w:trPr>
          <w:trHeight w:val="1602" w:hRule="atLeast"/>
        </w:trPr>
        <w:tc>
          <w:tcPr>
            <w:tcW w:w="3422" w:type="dxa"/>
            <w:gridSpan w:val="2"/>
            <w:vMerge w:val="restart"/>
            <w:tcBorders>
              <w:top w:val="single" w:color="000000" w:sz="8" w:space="0"/>
              <w:left w:val="single" w:color="000000" w:sz="8"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后续跟踪</w:t>
            </w:r>
          </w:p>
        </w:tc>
        <w:tc>
          <w:tcPr>
            <w:tcW w:w="7289" w:type="dxa"/>
            <w:gridSpan w:val="6"/>
            <w:tcBorders>
              <w:top w:val="single" w:color="000000" w:sz="8"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按质量比例20:80,调合B20生物燃料样15个：1个按GB17411-2015做关键指标；10个分两组，1组常温存放，另一组放模拟船舶油柜，在70℃的恒温箱存放，每隔2天（即48小时）每组拿出1个样，测定总加速沉淀物、相容性、重油稳定性和酸值四个指标，比较变化情况；2个按上期所方法检测加速氧化沉淀物（1个即做、1个第10天做）；剩余2个备用。</w:t>
            </w:r>
          </w:p>
        </w:tc>
      </w:tr>
      <w:tr>
        <w:tblPrEx>
          <w:tblCellMar>
            <w:top w:w="0" w:type="dxa"/>
            <w:left w:w="108" w:type="dxa"/>
            <w:bottom w:w="0" w:type="dxa"/>
            <w:right w:w="108" w:type="dxa"/>
          </w:tblCellMar>
        </w:tblPrEx>
        <w:trPr>
          <w:trHeight w:val="499" w:hRule="atLeast"/>
        </w:trPr>
        <w:tc>
          <w:tcPr>
            <w:tcW w:w="3422" w:type="dxa"/>
            <w:gridSpan w:val="2"/>
            <w:vMerge w:val="continue"/>
            <w:tcBorders>
              <w:top w:val="single" w:color="000000" w:sz="8" w:space="0"/>
              <w:left w:val="single" w:color="000000" w:sz="8"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c>
          <w:tcPr>
            <w:tcW w:w="152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第0天</w:t>
            </w:r>
          </w:p>
        </w:tc>
        <w:tc>
          <w:tcPr>
            <w:tcW w:w="11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第2天</w:t>
            </w:r>
          </w:p>
        </w:tc>
        <w:tc>
          <w:tcPr>
            <w:tcW w:w="11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第4天</w:t>
            </w:r>
          </w:p>
        </w:tc>
        <w:tc>
          <w:tcPr>
            <w:tcW w:w="112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第6天</w:t>
            </w:r>
          </w:p>
        </w:tc>
        <w:tc>
          <w:tcPr>
            <w:tcW w:w="11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第8天</w:t>
            </w:r>
          </w:p>
        </w:tc>
        <w:tc>
          <w:tcPr>
            <w:tcW w:w="1265" w:type="dxa"/>
            <w:tcBorders>
              <w:top w:val="single" w:color="000000" w:sz="4" w:space="0"/>
              <w:left w:val="single" w:color="000000" w:sz="4" w:space="0"/>
              <w:bottom w:val="single" w:color="000000" w:sz="4" w:space="0"/>
              <w:right w:val="single" w:color="000000" w:sz="8"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第10天</w:t>
            </w:r>
          </w:p>
        </w:tc>
      </w:tr>
      <w:tr>
        <w:tblPrEx>
          <w:tblCellMar>
            <w:top w:w="0" w:type="dxa"/>
            <w:left w:w="108" w:type="dxa"/>
            <w:bottom w:w="0" w:type="dxa"/>
            <w:right w:w="108" w:type="dxa"/>
          </w:tblCellMar>
        </w:tblPrEx>
        <w:trPr>
          <w:trHeight w:val="499" w:hRule="atLeast"/>
        </w:trPr>
        <w:tc>
          <w:tcPr>
            <w:tcW w:w="2311" w:type="dxa"/>
            <w:vMerge w:val="restart"/>
            <w:tcBorders>
              <w:top w:val="single" w:color="000000" w:sz="4" w:space="0"/>
              <w:left w:val="single" w:color="000000" w:sz="8"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总加速沉积物</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常温样</w:t>
            </w:r>
          </w:p>
        </w:tc>
        <w:tc>
          <w:tcPr>
            <w:tcW w:w="152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0.01</w:t>
            </w:r>
          </w:p>
        </w:tc>
        <w:tc>
          <w:tcPr>
            <w:tcW w:w="11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0.01</w:t>
            </w:r>
          </w:p>
        </w:tc>
        <w:tc>
          <w:tcPr>
            <w:tcW w:w="11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0.01</w:t>
            </w:r>
          </w:p>
        </w:tc>
        <w:tc>
          <w:tcPr>
            <w:tcW w:w="112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0.01</w:t>
            </w:r>
          </w:p>
        </w:tc>
        <w:tc>
          <w:tcPr>
            <w:tcW w:w="11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0.01</w:t>
            </w:r>
          </w:p>
        </w:tc>
        <w:tc>
          <w:tcPr>
            <w:tcW w:w="1265" w:type="dxa"/>
            <w:tcBorders>
              <w:top w:val="single" w:color="000000" w:sz="4" w:space="0"/>
              <w:left w:val="single" w:color="000000" w:sz="4" w:space="0"/>
              <w:bottom w:val="single" w:color="000000" w:sz="4" w:space="0"/>
              <w:right w:val="single" w:color="000000" w:sz="8"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0.01</w:t>
            </w:r>
          </w:p>
        </w:tc>
      </w:tr>
      <w:tr>
        <w:tblPrEx>
          <w:tblCellMar>
            <w:top w:w="0" w:type="dxa"/>
            <w:left w:w="108" w:type="dxa"/>
            <w:bottom w:w="0" w:type="dxa"/>
            <w:right w:w="108" w:type="dxa"/>
          </w:tblCellMar>
        </w:tblPrEx>
        <w:trPr>
          <w:trHeight w:val="499" w:hRule="atLeast"/>
        </w:trPr>
        <w:tc>
          <w:tcPr>
            <w:tcW w:w="2311" w:type="dxa"/>
            <w:vMerge w:val="continue"/>
            <w:tcBorders>
              <w:top w:val="single" w:color="000000" w:sz="4" w:space="0"/>
              <w:left w:val="single" w:color="000000" w:sz="8"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加温样</w:t>
            </w:r>
          </w:p>
        </w:tc>
        <w:tc>
          <w:tcPr>
            <w:tcW w:w="152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11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0.01</w:t>
            </w:r>
          </w:p>
        </w:tc>
        <w:tc>
          <w:tcPr>
            <w:tcW w:w="11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0.01</w:t>
            </w:r>
          </w:p>
        </w:tc>
        <w:tc>
          <w:tcPr>
            <w:tcW w:w="112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0.01</w:t>
            </w:r>
          </w:p>
        </w:tc>
        <w:tc>
          <w:tcPr>
            <w:tcW w:w="11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0.01</w:t>
            </w:r>
          </w:p>
        </w:tc>
        <w:tc>
          <w:tcPr>
            <w:tcW w:w="1265" w:type="dxa"/>
            <w:tcBorders>
              <w:top w:val="single" w:color="000000" w:sz="4" w:space="0"/>
              <w:left w:val="single" w:color="000000" w:sz="4" w:space="0"/>
              <w:bottom w:val="single" w:color="000000" w:sz="4" w:space="0"/>
              <w:right w:val="single" w:color="000000" w:sz="8"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0.01</w:t>
            </w:r>
          </w:p>
        </w:tc>
      </w:tr>
      <w:tr>
        <w:tblPrEx>
          <w:tblCellMar>
            <w:top w:w="0" w:type="dxa"/>
            <w:left w:w="108" w:type="dxa"/>
            <w:bottom w:w="0" w:type="dxa"/>
            <w:right w:w="108" w:type="dxa"/>
          </w:tblCellMar>
        </w:tblPrEx>
        <w:trPr>
          <w:trHeight w:val="499" w:hRule="atLeast"/>
        </w:trPr>
        <w:tc>
          <w:tcPr>
            <w:tcW w:w="2311" w:type="dxa"/>
            <w:vMerge w:val="restart"/>
            <w:tcBorders>
              <w:top w:val="single" w:color="000000" w:sz="4" w:space="0"/>
              <w:left w:val="single" w:color="000000" w:sz="8"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相容性，级</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常温样</w:t>
            </w:r>
          </w:p>
        </w:tc>
        <w:tc>
          <w:tcPr>
            <w:tcW w:w="152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1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1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12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1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265" w:type="dxa"/>
            <w:tcBorders>
              <w:top w:val="single" w:color="000000" w:sz="4" w:space="0"/>
              <w:left w:val="single" w:color="000000" w:sz="4" w:space="0"/>
              <w:bottom w:val="single" w:color="000000" w:sz="4" w:space="0"/>
              <w:right w:val="single" w:color="000000" w:sz="8"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r>
      <w:tr>
        <w:tblPrEx>
          <w:tblCellMar>
            <w:top w:w="0" w:type="dxa"/>
            <w:left w:w="108" w:type="dxa"/>
            <w:bottom w:w="0" w:type="dxa"/>
            <w:right w:w="108" w:type="dxa"/>
          </w:tblCellMar>
        </w:tblPrEx>
        <w:trPr>
          <w:trHeight w:val="499" w:hRule="atLeast"/>
        </w:trPr>
        <w:tc>
          <w:tcPr>
            <w:tcW w:w="2311" w:type="dxa"/>
            <w:vMerge w:val="continue"/>
            <w:tcBorders>
              <w:top w:val="single" w:color="000000" w:sz="4" w:space="0"/>
              <w:left w:val="single" w:color="000000" w:sz="8"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加温样</w:t>
            </w:r>
          </w:p>
        </w:tc>
        <w:tc>
          <w:tcPr>
            <w:tcW w:w="152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11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1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12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1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265" w:type="dxa"/>
            <w:tcBorders>
              <w:top w:val="single" w:color="000000" w:sz="4" w:space="0"/>
              <w:left w:val="single" w:color="000000" w:sz="4" w:space="0"/>
              <w:bottom w:val="single" w:color="000000" w:sz="4" w:space="0"/>
              <w:right w:val="single" w:color="000000" w:sz="8"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r>
      <w:tr>
        <w:tblPrEx>
          <w:tblCellMar>
            <w:top w:w="0" w:type="dxa"/>
            <w:left w:w="108" w:type="dxa"/>
            <w:bottom w:w="0" w:type="dxa"/>
            <w:right w:w="108" w:type="dxa"/>
          </w:tblCellMar>
        </w:tblPrEx>
        <w:trPr>
          <w:trHeight w:val="499" w:hRule="atLeast"/>
        </w:trPr>
        <w:tc>
          <w:tcPr>
            <w:tcW w:w="2311" w:type="dxa"/>
            <w:vMerge w:val="restart"/>
            <w:tcBorders>
              <w:top w:val="single" w:color="000000" w:sz="4" w:space="0"/>
              <w:left w:val="single" w:color="000000" w:sz="8"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重油稳定性</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常温样</w:t>
            </w:r>
          </w:p>
        </w:tc>
        <w:tc>
          <w:tcPr>
            <w:tcW w:w="152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1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0.8</w:t>
            </w:r>
          </w:p>
        </w:tc>
        <w:tc>
          <w:tcPr>
            <w:tcW w:w="11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0.8</w:t>
            </w:r>
          </w:p>
        </w:tc>
        <w:tc>
          <w:tcPr>
            <w:tcW w:w="112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0.9</w:t>
            </w:r>
          </w:p>
        </w:tc>
        <w:tc>
          <w:tcPr>
            <w:tcW w:w="11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0.8</w:t>
            </w:r>
          </w:p>
        </w:tc>
        <w:tc>
          <w:tcPr>
            <w:tcW w:w="1265" w:type="dxa"/>
            <w:tcBorders>
              <w:top w:val="single" w:color="000000" w:sz="4" w:space="0"/>
              <w:left w:val="single" w:color="000000" w:sz="4" w:space="0"/>
              <w:bottom w:val="single" w:color="000000" w:sz="4" w:space="0"/>
              <w:right w:val="single" w:color="000000" w:sz="8"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0.7</w:t>
            </w:r>
          </w:p>
        </w:tc>
      </w:tr>
      <w:tr>
        <w:tblPrEx>
          <w:tblCellMar>
            <w:top w:w="0" w:type="dxa"/>
            <w:left w:w="108" w:type="dxa"/>
            <w:bottom w:w="0" w:type="dxa"/>
            <w:right w:w="108" w:type="dxa"/>
          </w:tblCellMar>
        </w:tblPrEx>
        <w:trPr>
          <w:trHeight w:val="499" w:hRule="atLeast"/>
        </w:trPr>
        <w:tc>
          <w:tcPr>
            <w:tcW w:w="2311" w:type="dxa"/>
            <w:vMerge w:val="continue"/>
            <w:tcBorders>
              <w:top w:val="single" w:color="000000" w:sz="4" w:space="0"/>
              <w:left w:val="single" w:color="000000" w:sz="8"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加温样</w:t>
            </w:r>
          </w:p>
        </w:tc>
        <w:tc>
          <w:tcPr>
            <w:tcW w:w="152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11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0.9</w:t>
            </w:r>
          </w:p>
        </w:tc>
        <w:tc>
          <w:tcPr>
            <w:tcW w:w="11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0.9</w:t>
            </w:r>
          </w:p>
        </w:tc>
        <w:tc>
          <w:tcPr>
            <w:tcW w:w="112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w:t>
            </w:r>
          </w:p>
        </w:tc>
        <w:tc>
          <w:tcPr>
            <w:tcW w:w="11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0.9</w:t>
            </w:r>
          </w:p>
        </w:tc>
        <w:tc>
          <w:tcPr>
            <w:tcW w:w="1265" w:type="dxa"/>
            <w:tcBorders>
              <w:top w:val="single" w:color="000000" w:sz="4" w:space="0"/>
              <w:left w:val="single" w:color="000000" w:sz="4" w:space="0"/>
              <w:bottom w:val="single" w:color="000000" w:sz="4" w:space="0"/>
              <w:right w:val="single" w:color="000000" w:sz="8"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0.9</w:t>
            </w:r>
          </w:p>
        </w:tc>
      </w:tr>
      <w:tr>
        <w:tblPrEx>
          <w:tblCellMar>
            <w:top w:w="0" w:type="dxa"/>
            <w:left w:w="108" w:type="dxa"/>
            <w:bottom w:w="0" w:type="dxa"/>
            <w:right w:w="108" w:type="dxa"/>
          </w:tblCellMar>
        </w:tblPrEx>
        <w:trPr>
          <w:trHeight w:val="499" w:hRule="atLeast"/>
        </w:trPr>
        <w:tc>
          <w:tcPr>
            <w:tcW w:w="2311" w:type="dxa"/>
            <w:vMerge w:val="restart"/>
            <w:tcBorders>
              <w:top w:val="single" w:color="000000" w:sz="4" w:space="0"/>
              <w:left w:val="single" w:color="000000" w:sz="8"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酸值</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常温样</w:t>
            </w:r>
          </w:p>
        </w:tc>
        <w:tc>
          <w:tcPr>
            <w:tcW w:w="152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1.26</w:t>
            </w:r>
          </w:p>
        </w:tc>
        <w:tc>
          <w:tcPr>
            <w:tcW w:w="11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1.26</w:t>
            </w:r>
          </w:p>
        </w:tc>
        <w:tc>
          <w:tcPr>
            <w:tcW w:w="11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1.25</w:t>
            </w:r>
          </w:p>
        </w:tc>
        <w:tc>
          <w:tcPr>
            <w:tcW w:w="112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1.34</w:t>
            </w:r>
          </w:p>
        </w:tc>
        <w:tc>
          <w:tcPr>
            <w:tcW w:w="11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1.34</w:t>
            </w:r>
          </w:p>
        </w:tc>
        <w:tc>
          <w:tcPr>
            <w:tcW w:w="1265" w:type="dxa"/>
            <w:tcBorders>
              <w:top w:val="single" w:color="000000" w:sz="4" w:space="0"/>
              <w:left w:val="single" w:color="000000" w:sz="4" w:space="0"/>
              <w:bottom w:val="single" w:color="000000" w:sz="4" w:space="0"/>
              <w:right w:val="single" w:color="000000" w:sz="8"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1.31</w:t>
            </w:r>
          </w:p>
        </w:tc>
      </w:tr>
      <w:tr>
        <w:tblPrEx>
          <w:tblCellMar>
            <w:top w:w="0" w:type="dxa"/>
            <w:left w:w="108" w:type="dxa"/>
            <w:bottom w:w="0" w:type="dxa"/>
            <w:right w:w="108" w:type="dxa"/>
          </w:tblCellMar>
        </w:tblPrEx>
        <w:trPr>
          <w:trHeight w:val="499" w:hRule="atLeast"/>
        </w:trPr>
        <w:tc>
          <w:tcPr>
            <w:tcW w:w="2311" w:type="dxa"/>
            <w:vMerge w:val="continue"/>
            <w:tcBorders>
              <w:top w:val="single" w:color="000000" w:sz="4" w:space="0"/>
              <w:left w:val="single" w:color="000000" w:sz="8"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加温样</w:t>
            </w:r>
          </w:p>
        </w:tc>
        <w:tc>
          <w:tcPr>
            <w:tcW w:w="152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11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1.19</w:t>
            </w:r>
          </w:p>
        </w:tc>
        <w:tc>
          <w:tcPr>
            <w:tcW w:w="11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1.21</w:t>
            </w:r>
          </w:p>
        </w:tc>
        <w:tc>
          <w:tcPr>
            <w:tcW w:w="112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1.31</w:t>
            </w:r>
          </w:p>
        </w:tc>
        <w:tc>
          <w:tcPr>
            <w:tcW w:w="11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1.26</w:t>
            </w:r>
          </w:p>
        </w:tc>
        <w:tc>
          <w:tcPr>
            <w:tcW w:w="1265" w:type="dxa"/>
            <w:tcBorders>
              <w:top w:val="single" w:color="000000" w:sz="4" w:space="0"/>
              <w:left w:val="single" w:color="000000" w:sz="4" w:space="0"/>
              <w:bottom w:val="single" w:color="000000" w:sz="4" w:space="0"/>
              <w:right w:val="single" w:color="000000" w:sz="8"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1.29</w:t>
            </w:r>
          </w:p>
        </w:tc>
      </w:tr>
      <w:tr>
        <w:tblPrEx>
          <w:tblCellMar>
            <w:top w:w="0" w:type="dxa"/>
            <w:left w:w="108" w:type="dxa"/>
            <w:bottom w:w="0" w:type="dxa"/>
            <w:right w:w="108" w:type="dxa"/>
          </w:tblCellMar>
        </w:tblPrEx>
        <w:trPr>
          <w:trHeight w:val="499" w:hRule="atLeast"/>
        </w:trPr>
        <w:tc>
          <w:tcPr>
            <w:tcW w:w="2311" w:type="dxa"/>
            <w:vMerge w:val="restart"/>
            <w:tcBorders>
              <w:top w:val="single" w:color="000000" w:sz="4" w:space="0"/>
              <w:left w:val="single" w:color="000000" w:sz="8"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加速氧化沉淀物</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常温样</w:t>
            </w:r>
          </w:p>
        </w:tc>
        <w:tc>
          <w:tcPr>
            <w:tcW w:w="152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0.04</w:t>
            </w:r>
          </w:p>
        </w:tc>
        <w:tc>
          <w:tcPr>
            <w:tcW w:w="1124"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c>
          <w:tcPr>
            <w:tcW w:w="1124"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c>
          <w:tcPr>
            <w:tcW w:w="112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c>
          <w:tcPr>
            <w:tcW w:w="1124" w:type="dxa"/>
            <w:tcBorders>
              <w:top w:val="single" w:color="000000" w:sz="4" w:space="0"/>
              <w:left w:val="single" w:color="000000" w:sz="4" w:space="0"/>
              <w:bottom w:val="single" w:color="000000" w:sz="4" w:space="0"/>
              <w:right w:val="nil"/>
            </w:tcBorders>
            <w:noWrap/>
            <w:vAlign w:val="center"/>
          </w:tcPr>
          <w:p>
            <w:pPr>
              <w:jc w:val="center"/>
              <w:rPr>
                <w:rFonts w:ascii="宋体" w:hAnsi="宋体" w:eastAsia="宋体" w:cs="宋体"/>
                <w:color w:val="000000"/>
                <w:sz w:val="22"/>
                <w:szCs w:val="22"/>
              </w:rPr>
            </w:pPr>
          </w:p>
        </w:tc>
        <w:tc>
          <w:tcPr>
            <w:tcW w:w="1265" w:type="dxa"/>
            <w:tcBorders>
              <w:top w:val="single" w:color="000000" w:sz="4" w:space="0"/>
              <w:left w:val="single" w:color="000000" w:sz="4" w:space="0"/>
              <w:bottom w:val="single" w:color="000000" w:sz="4" w:space="0"/>
              <w:right w:val="single" w:color="000000" w:sz="8"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0.03</w:t>
            </w:r>
          </w:p>
        </w:tc>
      </w:tr>
      <w:tr>
        <w:tblPrEx>
          <w:tblCellMar>
            <w:top w:w="0" w:type="dxa"/>
            <w:left w:w="108" w:type="dxa"/>
            <w:bottom w:w="0" w:type="dxa"/>
            <w:right w:w="108" w:type="dxa"/>
          </w:tblCellMar>
        </w:tblPrEx>
        <w:trPr>
          <w:trHeight w:val="499" w:hRule="atLeast"/>
        </w:trPr>
        <w:tc>
          <w:tcPr>
            <w:tcW w:w="2311" w:type="dxa"/>
            <w:vMerge w:val="continue"/>
            <w:tcBorders>
              <w:top w:val="single" w:color="000000" w:sz="4" w:space="0"/>
              <w:left w:val="single" w:color="000000" w:sz="8"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c>
          <w:tcPr>
            <w:tcW w:w="1111" w:type="dxa"/>
            <w:tcBorders>
              <w:top w:val="single" w:color="000000" w:sz="4" w:space="0"/>
              <w:left w:val="single" w:color="000000" w:sz="4" w:space="0"/>
              <w:bottom w:val="single" w:color="000000" w:sz="8" w:space="0"/>
              <w:right w:val="single" w:color="000000" w:sz="4" w:space="0"/>
            </w:tcBorders>
            <w:noWrap/>
            <w:vAlign w:val="center"/>
          </w:tcPr>
          <w:p>
            <w:pPr>
              <w:jc w:val="center"/>
              <w:rPr>
                <w:rFonts w:ascii="宋体" w:hAnsi="宋体" w:eastAsia="宋体" w:cs="宋体"/>
                <w:color w:val="000000"/>
                <w:sz w:val="22"/>
                <w:szCs w:val="22"/>
              </w:rPr>
            </w:pPr>
          </w:p>
        </w:tc>
        <w:tc>
          <w:tcPr>
            <w:tcW w:w="1527" w:type="dxa"/>
            <w:tcBorders>
              <w:top w:val="single" w:color="000000" w:sz="4" w:space="0"/>
              <w:left w:val="single" w:color="000000" w:sz="4" w:space="0"/>
              <w:bottom w:val="single" w:color="000000" w:sz="8" w:space="0"/>
              <w:right w:val="single" w:color="000000" w:sz="4" w:space="0"/>
            </w:tcBorders>
            <w:noWrap/>
            <w:vAlign w:val="center"/>
          </w:tcPr>
          <w:p>
            <w:pPr>
              <w:jc w:val="center"/>
              <w:rPr>
                <w:rFonts w:ascii="宋体" w:hAnsi="宋体" w:eastAsia="宋体" w:cs="宋体"/>
                <w:color w:val="000000"/>
                <w:sz w:val="22"/>
                <w:szCs w:val="22"/>
              </w:rPr>
            </w:pPr>
          </w:p>
        </w:tc>
        <w:tc>
          <w:tcPr>
            <w:tcW w:w="1124" w:type="dxa"/>
            <w:tcBorders>
              <w:top w:val="single" w:color="000000" w:sz="4" w:space="0"/>
              <w:left w:val="single" w:color="000000" w:sz="4" w:space="0"/>
              <w:bottom w:val="single" w:color="000000" w:sz="8" w:space="0"/>
              <w:right w:val="single" w:color="000000" w:sz="4" w:space="0"/>
            </w:tcBorders>
            <w:noWrap/>
            <w:vAlign w:val="center"/>
          </w:tcPr>
          <w:p>
            <w:pPr>
              <w:jc w:val="center"/>
              <w:rPr>
                <w:rFonts w:ascii="宋体" w:hAnsi="宋体" w:eastAsia="宋体" w:cs="宋体"/>
                <w:color w:val="000000"/>
                <w:sz w:val="22"/>
                <w:szCs w:val="22"/>
              </w:rPr>
            </w:pPr>
          </w:p>
        </w:tc>
        <w:tc>
          <w:tcPr>
            <w:tcW w:w="1124" w:type="dxa"/>
            <w:tcBorders>
              <w:top w:val="single" w:color="000000" w:sz="4" w:space="0"/>
              <w:left w:val="single" w:color="000000" w:sz="4" w:space="0"/>
              <w:bottom w:val="single" w:color="000000" w:sz="8" w:space="0"/>
              <w:right w:val="single" w:color="000000" w:sz="4" w:space="0"/>
            </w:tcBorders>
            <w:noWrap/>
            <w:vAlign w:val="center"/>
          </w:tcPr>
          <w:p>
            <w:pPr>
              <w:jc w:val="center"/>
              <w:rPr>
                <w:rFonts w:ascii="宋体" w:hAnsi="宋体" w:eastAsia="宋体" w:cs="宋体"/>
                <w:color w:val="000000"/>
                <w:sz w:val="22"/>
                <w:szCs w:val="22"/>
              </w:rPr>
            </w:pPr>
          </w:p>
        </w:tc>
        <w:tc>
          <w:tcPr>
            <w:tcW w:w="1125" w:type="dxa"/>
            <w:tcBorders>
              <w:top w:val="single" w:color="000000" w:sz="4" w:space="0"/>
              <w:left w:val="single" w:color="000000" w:sz="4" w:space="0"/>
              <w:bottom w:val="single" w:color="000000" w:sz="8" w:space="0"/>
              <w:right w:val="single" w:color="000000" w:sz="4" w:space="0"/>
            </w:tcBorders>
            <w:noWrap/>
            <w:vAlign w:val="center"/>
          </w:tcPr>
          <w:p>
            <w:pPr>
              <w:jc w:val="center"/>
              <w:rPr>
                <w:rFonts w:ascii="宋体" w:hAnsi="宋体" w:eastAsia="宋体" w:cs="宋体"/>
                <w:color w:val="000000"/>
                <w:sz w:val="22"/>
                <w:szCs w:val="22"/>
              </w:rPr>
            </w:pPr>
          </w:p>
        </w:tc>
        <w:tc>
          <w:tcPr>
            <w:tcW w:w="1124" w:type="dxa"/>
            <w:tcBorders>
              <w:top w:val="single" w:color="000000" w:sz="4" w:space="0"/>
              <w:left w:val="single" w:color="000000" w:sz="4" w:space="0"/>
              <w:bottom w:val="single" w:color="000000" w:sz="8" w:space="0"/>
              <w:right w:val="nil"/>
            </w:tcBorders>
            <w:noWrap/>
            <w:vAlign w:val="center"/>
          </w:tcPr>
          <w:p>
            <w:pPr>
              <w:jc w:val="center"/>
              <w:rPr>
                <w:rFonts w:ascii="宋体" w:hAnsi="宋体" w:eastAsia="宋体" w:cs="宋体"/>
                <w:color w:val="000000"/>
                <w:sz w:val="22"/>
                <w:szCs w:val="22"/>
              </w:rPr>
            </w:pPr>
          </w:p>
        </w:tc>
        <w:tc>
          <w:tcPr>
            <w:tcW w:w="1265" w:type="dxa"/>
            <w:tcBorders>
              <w:top w:val="single" w:color="000000" w:sz="4" w:space="0"/>
              <w:left w:val="single" w:color="000000" w:sz="4" w:space="0"/>
              <w:bottom w:val="single" w:color="000000" w:sz="8" w:space="0"/>
              <w:right w:val="single" w:color="000000" w:sz="8" w:space="0"/>
            </w:tcBorders>
            <w:noWrap/>
            <w:vAlign w:val="center"/>
          </w:tcPr>
          <w:p>
            <w:pPr>
              <w:jc w:val="center"/>
              <w:rPr>
                <w:rFonts w:ascii="宋体" w:hAnsi="宋体" w:eastAsia="宋体" w:cs="宋体"/>
                <w:color w:val="000000"/>
                <w:sz w:val="22"/>
                <w:szCs w:val="22"/>
              </w:rPr>
            </w:pPr>
          </w:p>
        </w:tc>
      </w:tr>
    </w:tbl>
    <w:p>
      <w:pPr>
        <w:ind w:firstLine="420" w:firstLineChars="200"/>
        <w:rPr>
          <w:rFonts w:eastAsia="宋体"/>
        </w:rPr>
      </w:pPr>
    </w:p>
    <w:p>
      <w:pPr>
        <w:rPr>
          <w:rFonts w:eastAsia="宋体"/>
        </w:rPr>
      </w:pPr>
      <w:r>
        <w:rPr>
          <w:rFonts w:hint="eastAsia" w:eastAsia="宋体"/>
        </w:rPr>
        <w:t>2023年6月21日测试结果：</w:t>
      </w:r>
    </w:p>
    <w:tbl>
      <w:tblPr>
        <w:tblStyle w:val="4"/>
        <w:tblW w:w="9557" w:type="dxa"/>
        <w:tblInd w:w="0" w:type="dxa"/>
        <w:tblLayout w:type="autofit"/>
        <w:tblCellMar>
          <w:top w:w="0" w:type="dxa"/>
          <w:left w:w="108" w:type="dxa"/>
          <w:bottom w:w="0" w:type="dxa"/>
          <w:right w:w="108" w:type="dxa"/>
        </w:tblCellMar>
      </w:tblPr>
      <w:tblGrid>
        <w:gridCol w:w="3165"/>
        <w:gridCol w:w="318"/>
        <w:gridCol w:w="1584"/>
        <w:gridCol w:w="1584"/>
        <w:gridCol w:w="2906"/>
      </w:tblGrid>
      <w:tr>
        <w:tblPrEx>
          <w:tblCellMar>
            <w:top w:w="0" w:type="dxa"/>
            <w:left w:w="108" w:type="dxa"/>
            <w:bottom w:w="0" w:type="dxa"/>
            <w:right w:w="108" w:type="dxa"/>
          </w:tblCellMar>
        </w:tblPrEx>
        <w:trPr>
          <w:trHeight w:val="396" w:hRule="atLeast"/>
        </w:trPr>
        <w:tc>
          <w:tcPr>
            <w:tcW w:w="0" w:type="auto"/>
            <w:gridSpan w:val="2"/>
            <w:vMerge w:val="restart"/>
            <w:tcBorders>
              <w:top w:val="single" w:color="000000" w:sz="8" w:space="0"/>
              <w:left w:val="single" w:color="000000" w:sz="8"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指    标</w:t>
            </w:r>
          </w:p>
        </w:tc>
        <w:tc>
          <w:tcPr>
            <w:tcW w:w="0" w:type="auto"/>
            <w:tcBorders>
              <w:top w:val="single" w:color="000000" w:sz="8"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B20生物燃料</w:t>
            </w:r>
          </w:p>
        </w:tc>
        <w:tc>
          <w:tcPr>
            <w:tcW w:w="0" w:type="auto"/>
            <w:tcBorders>
              <w:top w:val="single" w:color="000000" w:sz="8"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B30生物燃料</w:t>
            </w:r>
          </w:p>
        </w:tc>
        <w:tc>
          <w:tcPr>
            <w:tcW w:w="0" w:type="auto"/>
            <w:vMerge w:val="restart"/>
            <w:tcBorders>
              <w:top w:val="single" w:color="000000" w:sz="8"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检测方法</w:t>
            </w:r>
          </w:p>
        </w:tc>
      </w:tr>
      <w:tr>
        <w:tblPrEx>
          <w:tblCellMar>
            <w:top w:w="0" w:type="dxa"/>
            <w:left w:w="108" w:type="dxa"/>
            <w:bottom w:w="0" w:type="dxa"/>
            <w:right w:w="108" w:type="dxa"/>
          </w:tblCellMar>
        </w:tblPrEx>
        <w:trPr>
          <w:trHeight w:val="396" w:hRule="atLeast"/>
        </w:trPr>
        <w:tc>
          <w:tcPr>
            <w:tcW w:w="0" w:type="auto"/>
            <w:gridSpan w:val="2"/>
            <w:vMerge w:val="continue"/>
            <w:tcBorders>
              <w:top w:val="single" w:color="000000" w:sz="8" w:space="0"/>
              <w:left w:val="single" w:color="000000" w:sz="8" w:space="0"/>
              <w:bottom w:val="single" w:color="000000" w:sz="4" w:space="0"/>
              <w:right w:val="single" w:color="000000" w:sz="4" w:space="0"/>
            </w:tcBorders>
            <w:noWrap/>
            <w:vAlign w:val="center"/>
          </w:tcPr>
          <w:p>
            <w:pPr>
              <w:jc w:val="center"/>
              <w:rPr>
                <w:rFonts w:ascii="宋体" w:hAnsi="宋体" w:eastAsia="宋体" w:cs="宋体"/>
                <w:b/>
                <w:bCs/>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B20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B30</w:t>
            </w:r>
          </w:p>
        </w:tc>
        <w:tc>
          <w:tcPr>
            <w:tcW w:w="0" w:type="auto"/>
            <w:vMerge w:val="continue"/>
            <w:tcBorders>
              <w:top w:val="single" w:color="000000" w:sz="8" w:space="0"/>
              <w:left w:val="single" w:color="000000" w:sz="4" w:space="0"/>
              <w:bottom w:val="single" w:color="000000" w:sz="4" w:space="0"/>
              <w:right w:val="single" w:color="000000" w:sz="4" w:space="0"/>
            </w:tcBorders>
            <w:noWrap/>
            <w:vAlign w:val="center"/>
          </w:tcPr>
          <w:p>
            <w:pPr>
              <w:jc w:val="center"/>
              <w:rPr>
                <w:rFonts w:ascii="宋体" w:hAnsi="宋体" w:eastAsia="宋体" w:cs="宋体"/>
                <w:b/>
                <w:bCs/>
                <w:color w:val="000000"/>
                <w:sz w:val="20"/>
                <w:szCs w:val="20"/>
              </w:rPr>
            </w:pPr>
          </w:p>
        </w:tc>
      </w:tr>
      <w:tr>
        <w:tblPrEx>
          <w:tblCellMar>
            <w:top w:w="0" w:type="dxa"/>
            <w:left w:w="108" w:type="dxa"/>
            <w:bottom w:w="0" w:type="dxa"/>
            <w:right w:w="108" w:type="dxa"/>
          </w:tblCellMar>
        </w:tblPrEx>
        <w:trPr>
          <w:trHeight w:val="386" w:hRule="atLeast"/>
        </w:trPr>
        <w:tc>
          <w:tcPr>
            <w:tcW w:w="0" w:type="auto"/>
            <w:gridSpan w:val="2"/>
            <w:tcBorders>
              <w:top w:val="single" w:color="000000" w:sz="4" w:space="0"/>
              <w:left w:val="single" w:color="000000" w:sz="8" w:space="0"/>
              <w:bottom w:val="single" w:color="000000" w:sz="4" w:space="0"/>
              <w:right w:val="single" w:color="000000" w:sz="4" w:space="0"/>
            </w:tcBorders>
            <w:noWrap/>
            <w:vAlign w:val="center"/>
          </w:tcPr>
          <w:p>
            <w:pPr>
              <w:widowControl/>
              <w:jc w:val="left"/>
              <w:textAlignment w:val="center"/>
              <w:rPr>
                <w:rFonts w:ascii="宋体" w:hAnsi="宋体" w:eastAsia="宋体" w:cs="宋体"/>
                <w:color w:val="000000"/>
                <w:sz w:val="20"/>
                <w:szCs w:val="20"/>
              </w:rPr>
            </w:pPr>
            <w:r>
              <w:rPr>
                <w:rStyle w:val="7"/>
                <w:rFonts w:hint="default"/>
                <w:lang w:bidi="ar"/>
              </w:rPr>
              <w:t>密度(20℃)，㎏/m</w:t>
            </w:r>
            <w:r>
              <w:rPr>
                <w:rStyle w:val="8"/>
                <w:rFonts w:hint="default"/>
                <w:lang w:bidi="ar"/>
              </w:rPr>
              <w:t>3</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945.7</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932</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SH/T0604</w:t>
            </w:r>
          </w:p>
        </w:tc>
      </w:tr>
      <w:tr>
        <w:tblPrEx>
          <w:tblCellMar>
            <w:top w:w="0" w:type="dxa"/>
            <w:left w:w="108" w:type="dxa"/>
            <w:bottom w:w="0" w:type="dxa"/>
            <w:right w:w="108" w:type="dxa"/>
          </w:tblCellMar>
        </w:tblPrEx>
        <w:trPr>
          <w:trHeight w:val="386" w:hRule="atLeast"/>
        </w:trPr>
        <w:tc>
          <w:tcPr>
            <w:tcW w:w="0" w:type="auto"/>
            <w:gridSpan w:val="2"/>
            <w:tcBorders>
              <w:top w:val="single" w:color="000000" w:sz="4" w:space="0"/>
              <w:left w:val="single" w:color="000000" w:sz="8" w:space="0"/>
              <w:bottom w:val="single" w:color="000000" w:sz="4" w:space="0"/>
              <w:right w:val="single" w:color="000000" w:sz="4" w:space="0"/>
            </w:tcBorders>
            <w:noWrap/>
            <w:vAlign w:val="center"/>
          </w:tcPr>
          <w:p>
            <w:pPr>
              <w:widowControl/>
              <w:jc w:val="left"/>
              <w:textAlignment w:val="center"/>
              <w:rPr>
                <w:rFonts w:ascii="宋体" w:hAnsi="宋体" w:eastAsia="宋体" w:cs="宋体"/>
                <w:color w:val="000000"/>
                <w:sz w:val="20"/>
                <w:szCs w:val="20"/>
              </w:rPr>
            </w:pPr>
            <w:r>
              <w:rPr>
                <w:rStyle w:val="7"/>
                <w:rFonts w:hint="default"/>
                <w:lang w:bidi="ar"/>
              </w:rPr>
              <w:t>运动粘度(50℃)，mm</w:t>
            </w:r>
            <w:r>
              <w:rPr>
                <w:rStyle w:val="8"/>
                <w:rFonts w:hint="default"/>
                <w:lang w:bidi="ar"/>
              </w:rPr>
              <w:t>2</w:t>
            </w:r>
            <w:r>
              <w:rPr>
                <w:rStyle w:val="7"/>
                <w:rFonts w:hint="default"/>
                <w:lang w:bidi="ar"/>
              </w:rPr>
              <w:t>/s</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54.30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30.94</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GB/T 265、ASTM D445-17a</w:t>
            </w:r>
          </w:p>
        </w:tc>
      </w:tr>
      <w:tr>
        <w:tblPrEx>
          <w:tblCellMar>
            <w:top w:w="0" w:type="dxa"/>
            <w:left w:w="108" w:type="dxa"/>
            <w:bottom w:w="0" w:type="dxa"/>
            <w:right w:w="108" w:type="dxa"/>
          </w:tblCellMar>
        </w:tblPrEx>
        <w:trPr>
          <w:trHeight w:val="386" w:hRule="atLeast"/>
        </w:trPr>
        <w:tc>
          <w:tcPr>
            <w:tcW w:w="0" w:type="auto"/>
            <w:gridSpan w:val="2"/>
            <w:tcBorders>
              <w:top w:val="single" w:color="000000" w:sz="4" w:space="0"/>
              <w:left w:val="single" w:color="000000" w:sz="8" w:space="0"/>
              <w:bottom w:val="single" w:color="000000" w:sz="4" w:space="0"/>
              <w:right w:val="single" w:color="000000" w:sz="4" w:space="0"/>
            </w:tcBorders>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闪点（闭口），℃</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107.0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111.0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GB/T 261</w:t>
            </w:r>
          </w:p>
        </w:tc>
      </w:tr>
      <w:tr>
        <w:tblPrEx>
          <w:tblCellMar>
            <w:top w:w="0" w:type="dxa"/>
            <w:left w:w="108" w:type="dxa"/>
            <w:bottom w:w="0" w:type="dxa"/>
            <w:right w:w="108" w:type="dxa"/>
          </w:tblCellMar>
        </w:tblPrEx>
        <w:trPr>
          <w:trHeight w:val="386" w:hRule="atLeast"/>
        </w:trPr>
        <w:tc>
          <w:tcPr>
            <w:tcW w:w="0" w:type="auto"/>
            <w:gridSpan w:val="2"/>
            <w:tcBorders>
              <w:top w:val="single" w:color="000000" w:sz="4" w:space="0"/>
              <w:left w:val="single" w:color="000000" w:sz="8" w:space="0"/>
              <w:bottom w:val="single" w:color="000000" w:sz="4" w:space="0"/>
              <w:right w:val="single" w:color="000000" w:sz="4" w:space="0"/>
            </w:tcBorders>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硫含量，（mg/kg）</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0.334</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0.307</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SH/T 0689、GB/T 17040</w:t>
            </w:r>
          </w:p>
        </w:tc>
      </w:tr>
      <w:tr>
        <w:tblPrEx>
          <w:tblCellMar>
            <w:top w:w="0" w:type="dxa"/>
            <w:left w:w="108" w:type="dxa"/>
            <w:bottom w:w="0" w:type="dxa"/>
            <w:right w:w="108" w:type="dxa"/>
          </w:tblCellMar>
        </w:tblPrEx>
        <w:trPr>
          <w:trHeight w:val="386" w:hRule="atLeast"/>
        </w:trPr>
        <w:tc>
          <w:tcPr>
            <w:tcW w:w="0" w:type="auto"/>
            <w:tcBorders>
              <w:top w:val="nil"/>
              <w:left w:val="single" w:color="000000" w:sz="8" w:space="0"/>
              <w:bottom w:val="nil"/>
              <w:right w:val="nil"/>
            </w:tcBorders>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残炭，％（质量分数）</w:t>
            </w:r>
          </w:p>
        </w:tc>
        <w:tc>
          <w:tcPr>
            <w:tcW w:w="0" w:type="auto"/>
            <w:tcBorders>
              <w:top w:val="nil"/>
              <w:left w:val="nil"/>
              <w:bottom w:val="nil"/>
              <w:right w:val="nil"/>
            </w:tcBorders>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7.02</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5.77</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GB/T 17144</w:t>
            </w:r>
          </w:p>
        </w:tc>
      </w:tr>
      <w:tr>
        <w:tblPrEx>
          <w:tblCellMar>
            <w:top w:w="0" w:type="dxa"/>
            <w:left w:w="108" w:type="dxa"/>
            <w:bottom w:w="0" w:type="dxa"/>
            <w:right w:w="108" w:type="dxa"/>
          </w:tblCellMar>
        </w:tblPrEx>
        <w:trPr>
          <w:trHeight w:val="386" w:hRule="atLeast"/>
        </w:trPr>
        <w:tc>
          <w:tcPr>
            <w:tcW w:w="0" w:type="auto"/>
            <w:gridSpan w:val="2"/>
            <w:tcBorders>
              <w:top w:val="single" w:color="000000" w:sz="4" w:space="0"/>
              <w:left w:val="single" w:color="000000" w:sz="8" w:space="0"/>
              <w:bottom w:val="single" w:color="000000" w:sz="4" w:space="0"/>
              <w:right w:val="single" w:color="000000" w:sz="4" w:space="0"/>
            </w:tcBorders>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酸值，mgKOH/g</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1.26</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0.84</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GB/T 7304</w:t>
            </w:r>
          </w:p>
        </w:tc>
      </w:tr>
      <w:tr>
        <w:tblPrEx>
          <w:tblCellMar>
            <w:top w:w="0" w:type="dxa"/>
            <w:left w:w="108" w:type="dxa"/>
            <w:bottom w:w="0" w:type="dxa"/>
            <w:right w:w="108" w:type="dxa"/>
          </w:tblCellMar>
        </w:tblPrEx>
        <w:trPr>
          <w:trHeight w:val="386" w:hRule="atLeast"/>
        </w:trPr>
        <w:tc>
          <w:tcPr>
            <w:tcW w:w="0" w:type="auto"/>
            <w:gridSpan w:val="2"/>
            <w:tcBorders>
              <w:top w:val="single" w:color="000000" w:sz="4" w:space="0"/>
              <w:left w:val="single" w:color="000000" w:sz="8" w:space="0"/>
              <w:bottom w:val="single" w:color="000000" w:sz="4" w:space="0"/>
              <w:right w:val="single" w:color="000000" w:sz="4" w:space="0"/>
            </w:tcBorders>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总潜在沉淀物，％（质量分数）</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0.01</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0.01</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SH/T 0702（A）</w:t>
            </w:r>
          </w:p>
        </w:tc>
      </w:tr>
      <w:tr>
        <w:tblPrEx>
          <w:tblCellMar>
            <w:top w:w="0" w:type="dxa"/>
            <w:left w:w="108" w:type="dxa"/>
            <w:bottom w:w="0" w:type="dxa"/>
            <w:right w:w="108" w:type="dxa"/>
          </w:tblCellMar>
        </w:tblPrEx>
        <w:trPr>
          <w:trHeight w:val="386" w:hRule="atLeast"/>
        </w:trPr>
        <w:tc>
          <w:tcPr>
            <w:tcW w:w="0" w:type="auto"/>
            <w:gridSpan w:val="2"/>
            <w:tcBorders>
              <w:top w:val="single" w:color="000000" w:sz="4" w:space="0"/>
              <w:left w:val="single" w:color="000000" w:sz="8" w:space="0"/>
              <w:bottom w:val="single" w:color="000000" w:sz="4" w:space="0"/>
              <w:right w:val="single" w:color="000000" w:sz="4" w:space="0"/>
            </w:tcBorders>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总加速沉淀物，％（质量分数）</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0.01</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0.01</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SH/T 0702（B）</w:t>
            </w:r>
          </w:p>
        </w:tc>
      </w:tr>
      <w:tr>
        <w:tblPrEx>
          <w:tblCellMar>
            <w:top w:w="0" w:type="dxa"/>
            <w:left w:w="108" w:type="dxa"/>
            <w:bottom w:w="0" w:type="dxa"/>
            <w:right w:w="108" w:type="dxa"/>
          </w:tblCellMar>
        </w:tblPrEx>
        <w:trPr>
          <w:trHeight w:val="386" w:hRule="atLeast"/>
        </w:trPr>
        <w:tc>
          <w:tcPr>
            <w:tcW w:w="0" w:type="auto"/>
            <w:gridSpan w:val="2"/>
            <w:tcBorders>
              <w:top w:val="single" w:color="000000" w:sz="4" w:space="0"/>
              <w:left w:val="single" w:color="000000" w:sz="8" w:space="0"/>
              <w:bottom w:val="single" w:color="000000" w:sz="4" w:space="0"/>
              <w:right w:val="single" w:color="000000" w:sz="4" w:space="0"/>
            </w:tcBorders>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相容性，级</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ASTM D4740</w:t>
            </w:r>
          </w:p>
        </w:tc>
      </w:tr>
      <w:tr>
        <w:tblPrEx>
          <w:tblCellMar>
            <w:top w:w="0" w:type="dxa"/>
            <w:left w:w="108" w:type="dxa"/>
            <w:bottom w:w="0" w:type="dxa"/>
            <w:right w:w="108" w:type="dxa"/>
          </w:tblCellMar>
        </w:tblPrEx>
        <w:trPr>
          <w:trHeight w:val="396" w:hRule="atLeast"/>
        </w:trPr>
        <w:tc>
          <w:tcPr>
            <w:tcW w:w="0" w:type="auto"/>
            <w:gridSpan w:val="2"/>
            <w:tcBorders>
              <w:top w:val="single" w:color="000000" w:sz="4" w:space="0"/>
              <w:left w:val="single" w:color="000000" w:sz="8" w:space="0"/>
              <w:bottom w:val="single" w:color="000000" w:sz="4" w:space="0"/>
              <w:right w:val="single" w:color="000000" w:sz="4" w:space="0"/>
            </w:tcBorders>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重油稳定性</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1.0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0.8</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ASTM D7061</w:t>
            </w:r>
          </w:p>
        </w:tc>
      </w:tr>
    </w:tbl>
    <w:p>
      <w:pPr>
        <w:rPr>
          <w:rFonts w:eastAsia="宋体"/>
        </w:rPr>
      </w:pPr>
    </w:p>
    <w:p>
      <w:pPr>
        <w:rPr>
          <w:rFonts w:eastAsia="宋体"/>
        </w:rPr>
      </w:pPr>
    </w:p>
    <w:tbl>
      <w:tblPr>
        <w:tblStyle w:val="4"/>
        <w:tblW w:w="9901" w:type="dxa"/>
        <w:tblInd w:w="-196" w:type="dxa"/>
        <w:tblLayout w:type="fixed"/>
        <w:tblCellMar>
          <w:top w:w="0" w:type="dxa"/>
          <w:left w:w="108" w:type="dxa"/>
          <w:bottom w:w="0" w:type="dxa"/>
          <w:right w:w="108" w:type="dxa"/>
        </w:tblCellMar>
      </w:tblPr>
      <w:tblGrid>
        <w:gridCol w:w="1052"/>
        <w:gridCol w:w="785"/>
        <w:gridCol w:w="726"/>
        <w:gridCol w:w="785"/>
        <w:gridCol w:w="608"/>
        <w:gridCol w:w="622"/>
        <w:gridCol w:w="652"/>
        <w:gridCol w:w="666"/>
        <w:gridCol w:w="637"/>
        <w:gridCol w:w="623"/>
        <w:gridCol w:w="732"/>
        <w:gridCol w:w="654"/>
        <w:gridCol w:w="654"/>
        <w:gridCol w:w="705"/>
      </w:tblGrid>
      <w:tr>
        <w:tblPrEx>
          <w:tblCellMar>
            <w:top w:w="0" w:type="dxa"/>
            <w:left w:w="108" w:type="dxa"/>
            <w:bottom w:w="0" w:type="dxa"/>
            <w:right w:w="108" w:type="dxa"/>
          </w:tblCellMar>
        </w:tblPrEx>
        <w:trPr>
          <w:trHeight w:val="937" w:hRule="atLeast"/>
        </w:trPr>
        <w:tc>
          <w:tcPr>
            <w:tcW w:w="1837" w:type="dxa"/>
            <w:gridSpan w:val="2"/>
            <w:tcBorders>
              <w:top w:val="single" w:color="000000" w:sz="8" w:space="0"/>
              <w:left w:val="single" w:color="000000" w:sz="8"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lang w:bidi="ar"/>
              </w:rPr>
              <w:t>后续跟踪（B20生物燃料）</w:t>
            </w:r>
          </w:p>
        </w:tc>
        <w:tc>
          <w:tcPr>
            <w:tcW w:w="726" w:type="dxa"/>
            <w:tcBorders>
              <w:top w:val="single" w:color="000000" w:sz="8"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lang w:bidi="ar"/>
              </w:rPr>
              <w:t>6月22日</w:t>
            </w:r>
          </w:p>
        </w:tc>
        <w:tc>
          <w:tcPr>
            <w:tcW w:w="785" w:type="dxa"/>
            <w:tcBorders>
              <w:top w:val="single" w:color="000000" w:sz="8"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lang w:bidi="ar"/>
              </w:rPr>
              <w:t>6月24日</w:t>
            </w:r>
          </w:p>
        </w:tc>
        <w:tc>
          <w:tcPr>
            <w:tcW w:w="608" w:type="dxa"/>
            <w:tcBorders>
              <w:top w:val="single" w:color="000000" w:sz="8"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lang w:bidi="ar"/>
              </w:rPr>
              <w:t>6月26日</w:t>
            </w:r>
          </w:p>
        </w:tc>
        <w:tc>
          <w:tcPr>
            <w:tcW w:w="622" w:type="dxa"/>
            <w:tcBorders>
              <w:top w:val="single" w:color="000000" w:sz="8"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lang w:bidi="ar"/>
              </w:rPr>
              <w:t>6月28日</w:t>
            </w:r>
          </w:p>
        </w:tc>
        <w:tc>
          <w:tcPr>
            <w:tcW w:w="652" w:type="dxa"/>
            <w:tcBorders>
              <w:top w:val="single" w:color="000000" w:sz="8"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lang w:bidi="ar"/>
              </w:rPr>
              <w:t>6月30日</w:t>
            </w:r>
          </w:p>
        </w:tc>
        <w:tc>
          <w:tcPr>
            <w:tcW w:w="666" w:type="dxa"/>
            <w:tcBorders>
              <w:top w:val="single" w:color="000000" w:sz="8"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lang w:bidi="ar"/>
              </w:rPr>
              <w:t>7月14日</w:t>
            </w:r>
          </w:p>
        </w:tc>
        <w:tc>
          <w:tcPr>
            <w:tcW w:w="637" w:type="dxa"/>
            <w:tcBorders>
              <w:top w:val="single" w:color="000000" w:sz="8"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lang w:bidi="ar"/>
              </w:rPr>
              <w:t>7月29日</w:t>
            </w:r>
          </w:p>
        </w:tc>
        <w:tc>
          <w:tcPr>
            <w:tcW w:w="623" w:type="dxa"/>
            <w:tcBorders>
              <w:top w:val="single" w:color="000000" w:sz="8"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lang w:bidi="ar"/>
              </w:rPr>
              <w:t>8月15日</w:t>
            </w:r>
          </w:p>
        </w:tc>
        <w:tc>
          <w:tcPr>
            <w:tcW w:w="732" w:type="dxa"/>
            <w:tcBorders>
              <w:top w:val="single" w:color="000000" w:sz="8"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lang w:bidi="ar"/>
              </w:rPr>
              <w:t>9月1日</w:t>
            </w:r>
          </w:p>
        </w:tc>
        <w:tc>
          <w:tcPr>
            <w:tcW w:w="654" w:type="dxa"/>
            <w:tcBorders>
              <w:top w:val="single" w:color="000000" w:sz="8"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lang w:bidi="ar"/>
              </w:rPr>
              <w:t>9月15日</w:t>
            </w:r>
          </w:p>
        </w:tc>
        <w:tc>
          <w:tcPr>
            <w:tcW w:w="654" w:type="dxa"/>
            <w:tcBorders>
              <w:top w:val="single" w:color="000000" w:sz="8"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lang w:bidi="ar"/>
              </w:rPr>
              <w:t>10月1日</w:t>
            </w:r>
          </w:p>
        </w:tc>
        <w:tc>
          <w:tcPr>
            <w:tcW w:w="705" w:type="dxa"/>
            <w:tcBorders>
              <w:top w:val="single" w:color="000000" w:sz="8" w:space="0"/>
              <w:left w:val="single" w:color="000000" w:sz="4" w:space="0"/>
              <w:bottom w:val="single" w:color="000000" w:sz="4" w:space="0"/>
              <w:right w:val="single" w:color="000000" w:sz="8" w:space="0"/>
            </w:tcBorders>
            <w:noWrap/>
            <w:vAlign w:val="center"/>
          </w:tcPr>
          <w:p>
            <w:pPr>
              <w:widowControl/>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lang w:bidi="ar"/>
              </w:rPr>
              <w:t>10月15日</w:t>
            </w:r>
          </w:p>
        </w:tc>
      </w:tr>
      <w:tr>
        <w:tblPrEx>
          <w:tblCellMar>
            <w:top w:w="0" w:type="dxa"/>
            <w:left w:w="108" w:type="dxa"/>
            <w:bottom w:w="0" w:type="dxa"/>
            <w:right w:w="108" w:type="dxa"/>
          </w:tblCellMar>
        </w:tblPrEx>
        <w:trPr>
          <w:trHeight w:val="622" w:hRule="atLeast"/>
        </w:trPr>
        <w:tc>
          <w:tcPr>
            <w:tcW w:w="1052" w:type="dxa"/>
            <w:vMerge w:val="restart"/>
            <w:tcBorders>
              <w:top w:val="single" w:color="000000" w:sz="4" w:space="0"/>
              <w:left w:val="single" w:color="000000" w:sz="8"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总加速沉积物</w:t>
            </w:r>
          </w:p>
        </w:tc>
        <w:tc>
          <w:tcPr>
            <w:tcW w:w="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常温样</w:t>
            </w:r>
          </w:p>
        </w:tc>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0.01</w:t>
            </w:r>
          </w:p>
        </w:tc>
        <w:tc>
          <w:tcPr>
            <w:tcW w:w="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0.01</w:t>
            </w:r>
          </w:p>
        </w:tc>
        <w:tc>
          <w:tcPr>
            <w:tcW w:w="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0.01</w:t>
            </w:r>
          </w:p>
        </w:tc>
        <w:tc>
          <w:tcPr>
            <w:tcW w:w="6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0.01</w:t>
            </w: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0.01</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0.01</w:t>
            </w:r>
          </w:p>
        </w:tc>
        <w:tc>
          <w:tcPr>
            <w:tcW w:w="63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rPr>
                <w:rFonts w:ascii="宋体" w:hAnsi="宋体" w:eastAsia="宋体" w:cs="宋体"/>
                <w:color w:val="000000"/>
                <w:sz w:val="18"/>
                <w:szCs w:val="18"/>
              </w:rPr>
            </w:pPr>
            <w:r>
              <w:rPr>
                <w:rFonts w:hint="eastAsia" w:ascii="宋体" w:hAnsi="宋体" w:eastAsia="宋体" w:cs="宋体"/>
                <w:color w:val="000000"/>
                <w:sz w:val="18"/>
                <w:szCs w:val="18"/>
              </w:rPr>
              <w:t>0.01</w:t>
            </w:r>
          </w:p>
        </w:tc>
        <w:tc>
          <w:tcPr>
            <w:tcW w:w="62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0.01</w:t>
            </w:r>
          </w:p>
        </w:tc>
        <w:tc>
          <w:tcPr>
            <w:tcW w:w="73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0.01</w:t>
            </w:r>
          </w:p>
        </w:tc>
        <w:tc>
          <w:tcPr>
            <w:tcW w:w="65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0.01</w:t>
            </w:r>
          </w:p>
        </w:tc>
        <w:tc>
          <w:tcPr>
            <w:tcW w:w="65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0.01</w:t>
            </w:r>
          </w:p>
        </w:tc>
        <w:tc>
          <w:tcPr>
            <w:tcW w:w="705" w:type="dxa"/>
            <w:tcBorders>
              <w:top w:val="single" w:color="000000" w:sz="4" w:space="0"/>
              <w:left w:val="single" w:color="000000" w:sz="4" w:space="0"/>
              <w:bottom w:val="single" w:color="000000" w:sz="4" w:space="0"/>
              <w:right w:val="single" w:color="000000" w:sz="8" w:space="0"/>
            </w:tcBorders>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0.01</w:t>
            </w:r>
          </w:p>
        </w:tc>
      </w:tr>
      <w:tr>
        <w:tblPrEx>
          <w:tblCellMar>
            <w:top w:w="0" w:type="dxa"/>
            <w:left w:w="108" w:type="dxa"/>
            <w:bottom w:w="0" w:type="dxa"/>
            <w:right w:w="108" w:type="dxa"/>
          </w:tblCellMar>
        </w:tblPrEx>
        <w:trPr>
          <w:trHeight w:val="622" w:hRule="atLeast"/>
        </w:trPr>
        <w:tc>
          <w:tcPr>
            <w:tcW w:w="1052" w:type="dxa"/>
            <w:vMerge w:val="continue"/>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18"/>
                <w:szCs w:val="18"/>
              </w:rPr>
            </w:pPr>
          </w:p>
        </w:tc>
        <w:tc>
          <w:tcPr>
            <w:tcW w:w="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加温样</w:t>
            </w:r>
          </w:p>
        </w:tc>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0.01</w:t>
            </w:r>
          </w:p>
        </w:tc>
        <w:tc>
          <w:tcPr>
            <w:tcW w:w="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0.01</w:t>
            </w:r>
          </w:p>
        </w:tc>
        <w:tc>
          <w:tcPr>
            <w:tcW w:w="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0.01</w:t>
            </w:r>
          </w:p>
        </w:tc>
        <w:tc>
          <w:tcPr>
            <w:tcW w:w="6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0.01</w:t>
            </w: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0.01</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0.01</w:t>
            </w:r>
          </w:p>
        </w:tc>
        <w:tc>
          <w:tcPr>
            <w:tcW w:w="63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rPr>
                <w:rFonts w:ascii="宋体" w:hAnsi="宋体" w:eastAsia="宋体" w:cs="宋体"/>
                <w:color w:val="000000"/>
                <w:sz w:val="18"/>
                <w:szCs w:val="18"/>
              </w:rPr>
            </w:pPr>
          </w:p>
        </w:tc>
        <w:tc>
          <w:tcPr>
            <w:tcW w:w="623"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18"/>
                <w:szCs w:val="18"/>
              </w:rPr>
            </w:pPr>
          </w:p>
        </w:tc>
        <w:tc>
          <w:tcPr>
            <w:tcW w:w="732"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18"/>
                <w:szCs w:val="18"/>
              </w:rPr>
            </w:pPr>
          </w:p>
        </w:tc>
        <w:tc>
          <w:tcPr>
            <w:tcW w:w="654"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18"/>
                <w:szCs w:val="18"/>
              </w:rPr>
            </w:pPr>
          </w:p>
        </w:tc>
        <w:tc>
          <w:tcPr>
            <w:tcW w:w="654"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18"/>
                <w:szCs w:val="18"/>
              </w:rPr>
            </w:pPr>
          </w:p>
        </w:tc>
        <w:tc>
          <w:tcPr>
            <w:tcW w:w="705" w:type="dxa"/>
            <w:tcBorders>
              <w:top w:val="single" w:color="000000" w:sz="4" w:space="0"/>
              <w:left w:val="single" w:color="000000" w:sz="4" w:space="0"/>
              <w:bottom w:val="single" w:color="000000" w:sz="4" w:space="0"/>
              <w:right w:val="single" w:color="000000" w:sz="8" w:space="0"/>
            </w:tcBorders>
            <w:noWrap/>
            <w:vAlign w:val="center"/>
          </w:tcPr>
          <w:p>
            <w:pPr>
              <w:jc w:val="center"/>
              <w:rPr>
                <w:rFonts w:ascii="宋体" w:hAnsi="宋体" w:eastAsia="宋体" w:cs="宋体"/>
                <w:color w:val="000000"/>
                <w:sz w:val="18"/>
                <w:szCs w:val="18"/>
              </w:rPr>
            </w:pPr>
          </w:p>
        </w:tc>
      </w:tr>
      <w:tr>
        <w:tblPrEx>
          <w:tblCellMar>
            <w:top w:w="0" w:type="dxa"/>
            <w:left w:w="108" w:type="dxa"/>
            <w:bottom w:w="0" w:type="dxa"/>
            <w:right w:w="108" w:type="dxa"/>
          </w:tblCellMar>
        </w:tblPrEx>
        <w:trPr>
          <w:trHeight w:val="622" w:hRule="atLeast"/>
        </w:trPr>
        <w:tc>
          <w:tcPr>
            <w:tcW w:w="1052" w:type="dxa"/>
            <w:vMerge w:val="restart"/>
            <w:tcBorders>
              <w:top w:val="single" w:color="000000" w:sz="4" w:space="0"/>
              <w:left w:val="single" w:color="000000" w:sz="8"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相容性，级</w:t>
            </w:r>
          </w:p>
        </w:tc>
        <w:tc>
          <w:tcPr>
            <w:tcW w:w="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常温样</w:t>
            </w:r>
          </w:p>
        </w:tc>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w:t>
            </w:r>
          </w:p>
        </w:tc>
        <w:tc>
          <w:tcPr>
            <w:tcW w:w="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w:t>
            </w:r>
          </w:p>
        </w:tc>
        <w:tc>
          <w:tcPr>
            <w:tcW w:w="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w:t>
            </w:r>
          </w:p>
        </w:tc>
        <w:tc>
          <w:tcPr>
            <w:tcW w:w="6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w:t>
            </w: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w:t>
            </w:r>
          </w:p>
        </w:tc>
        <w:tc>
          <w:tcPr>
            <w:tcW w:w="63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rPr>
                <w:rFonts w:ascii="宋体" w:hAnsi="宋体" w:eastAsia="宋体" w:cs="宋体"/>
                <w:color w:val="000000"/>
                <w:sz w:val="18"/>
                <w:szCs w:val="18"/>
              </w:rPr>
            </w:pPr>
            <w:r>
              <w:rPr>
                <w:rFonts w:hint="eastAsia" w:ascii="宋体" w:hAnsi="宋体" w:eastAsia="宋体" w:cs="宋体"/>
                <w:color w:val="000000"/>
                <w:sz w:val="18"/>
                <w:szCs w:val="18"/>
              </w:rPr>
              <w:t>1</w:t>
            </w:r>
          </w:p>
        </w:tc>
        <w:tc>
          <w:tcPr>
            <w:tcW w:w="62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w:t>
            </w:r>
          </w:p>
        </w:tc>
        <w:tc>
          <w:tcPr>
            <w:tcW w:w="73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w:t>
            </w:r>
          </w:p>
        </w:tc>
        <w:tc>
          <w:tcPr>
            <w:tcW w:w="65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w:t>
            </w:r>
          </w:p>
        </w:tc>
        <w:tc>
          <w:tcPr>
            <w:tcW w:w="65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w:t>
            </w:r>
          </w:p>
        </w:tc>
        <w:tc>
          <w:tcPr>
            <w:tcW w:w="705" w:type="dxa"/>
            <w:tcBorders>
              <w:top w:val="single" w:color="000000" w:sz="4" w:space="0"/>
              <w:left w:val="single" w:color="000000" w:sz="4" w:space="0"/>
              <w:bottom w:val="single" w:color="000000" w:sz="4" w:space="0"/>
              <w:right w:val="single" w:color="000000" w:sz="8" w:space="0"/>
            </w:tcBorders>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w:t>
            </w:r>
          </w:p>
        </w:tc>
      </w:tr>
      <w:tr>
        <w:tblPrEx>
          <w:tblCellMar>
            <w:top w:w="0" w:type="dxa"/>
            <w:left w:w="108" w:type="dxa"/>
            <w:bottom w:w="0" w:type="dxa"/>
            <w:right w:w="108" w:type="dxa"/>
          </w:tblCellMar>
        </w:tblPrEx>
        <w:trPr>
          <w:trHeight w:val="622" w:hRule="atLeast"/>
        </w:trPr>
        <w:tc>
          <w:tcPr>
            <w:tcW w:w="1052" w:type="dxa"/>
            <w:vMerge w:val="continue"/>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18"/>
                <w:szCs w:val="18"/>
              </w:rPr>
            </w:pPr>
          </w:p>
        </w:tc>
        <w:tc>
          <w:tcPr>
            <w:tcW w:w="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加温样</w:t>
            </w:r>
          </w:p>
        </w:tc>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w:t>
            </w:r>
          </w:p>
        </w:tc>
        <w:tc>
          <w:tcPr>
            <w:tcW w:w="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w:t>
            </w:r>
          </w:p>
        </w:tc>
        <w:tc>
          <w:tcPr>
            <w:tcW w:w="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w:t>
            </w:r>
          </w:p>
        </w:tc>
        <w:tc>
          <w:tcPr>
            <w:tcW w:w="6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w:t>
            </w: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w:t>
            </w:r>
          </w:p>
        </w:tc>
        <w:tc>
          <w:tcPr>
            <w:tcW w:w="63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rPr>
                <w:rFonts w:ascii="宋体" w:hAnsi="宋体" w:eastAsia="宋体" w:cs="宋体"/>
                <w:color w:val="000000"/>
                <w:sz w:val="18"/>
                <w:szCs w:val="18"/>
              </w:rPr>
            </w:pPr>
          </w:p>
        </w:tc>
        <w:tc>
          <w:tcPr>
            <w:tcW w:w="623"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18"/>
                <w:szCs w:val="18"/>
              </w:rPr>
            </w:pPr>
          </w:p>
        </w:tc>
        <w:tc>
          <w:tcPr>
            <w:tcW w:w="732"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18"/>
                <w:szCs w:val="18"/>
              </w:rPr>
            </w:pPr>
          </w:p>
        </w:tc>
        <w:tc>
          <w:tcPr>
            <w:tcW w:w="654"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18"/>
                <w:szCs w:val="18"/>
              </w:rPr>
            </w:pPr>
          </w:p>
        </w:tc>
        <w:tc>
          <w:tcPr>
            <w:tcW w:w="654"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18"/>
                <w:szCs w:val="18"/>
              </w:rPr>
            </w:pPr>
          </w:p>
        </w:tc>
        <w:tc>
          <w:tcPr>
            <w:tcW w:w="705" w:type="dxa"/>
            <w:tcBorders>
              <w:top w:val="single" w:color="000000" w:sz="4" w:space="0"/>
              <w:left w:val="single" w:color="000000" w:sz="4" w:space="0"/>
              <w:bottom w:val="single" w:color="000000" w:sz="4" w:space="0"/>
              <w:right w:val="single" w:color="000000" w:sz="8" w:space="0"/>
            </w:tcBorders>
            <w:noWrap/>
            <w:vAlign w:val="center"/>
          </w:tcPr>
          <w:p>
            <w:pPr>
              <w:jc w:val="center"/>
              <w:rPr>
                <w:rFonts w:ascii="宋体" w:hAnsi="宋体" w:eastAsia="宋体" w:cs="宋体"/>
                <w:color w:val="000000"/>
                <w:sz w:val="18"/>
                <w:szCs w:val="18"/>
              </w:rPr>
            </w:pPr>
          </w:p>
        </w:tc>
      </w:tr>
      <w:tr>
        <w:tblPrEx>
          <w:tblCellMar>
            <w:top w:w="0" w:type="dxa"/>
            <w:left w:w="108" w:type="dxa"/>
            <w:bottom w:w="0" w:type="dxa"/>
            <w:right w:w="108" w:type="dxa"/>
          </w:tblCellMar>
        </w:tblPrEx>
        <w:trPr>
          <w:trHeight w:val="622" w:hRule="atLeast"/>
        </w:trPr>
        <w:tc>
          <w:tcPr>
            <w:tcW w:w="1052" w:type="dxa"/>
            <w:vMerge w:val="restart"/>
            <w:tcBorders>
              <w:top w:val="single" w:color="000000" w:sz="4" w:space="0"/>
              <w:left w:val="single" w:color="000000" w:sz="8"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重油稳定性</w:t>
            </w:r>
          </w:p>
        </w:tc>
        <w:tc>
          <w:tcPr>
            <w:tcW w:w="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常温样</w:t>
            </w:r>
          </w:p>
        </w:tc>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0.8</w:t>
            </w:r>
          </w:p>
        </w:tc>
        <w:tc>
          <w:tcPr>
            <w:tcW w:w="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0.8</w:t>
            </w:r>
          </w:p>
        </w:tc>
        <w:tc>
          <w:tcPr>
            <w:tcW w:w="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0.9</w:t>
            </w:r>
          </w:p>
        </w:tc>
        <w:tc>
          <w:tcPr>
            <w:tcW w:w="6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0.8</w:t>
            </w: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0.7</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1.0 </w:t>
            </w:r>
          </w:p>
        </w:tc>
        <w:tc>
          <w:tcPr>
            <w:tcW w:w="63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rPr>
                <w:rFonts w:ascii="宋体" w:hAnsi="宋体" w:eastAsia="宋体" w:cs="宋体"/>
                <w:color w:val="000000"/>
                <w:sz w:val="18"/>
                <w:szCs w:val="18"/>
              </w:rPr>
            </w:pPr>
            <w:r>
              <w:rPr>
                <w:rFonts w:hint="eastAsia" w:ascii="宋体" w:hAnsi="宋体" w:eastAsia="宋体" w:cs="宋体"/>
                <w:color w:val="000000"/>
                <w:sz w:val="18"/>
                <w:szCs w:val="18"/>
              </w:rPr>
              <w:t xml:space="preserve">0.9 </w:t>
            </w:r>
          </w:p>
        </w:tc>
        <w:tc>
          <w:tcPr>
            <w:tcW w:w="62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0.9</w:t>
            </w:r>
          </w:p>
        </w:tc>
        <w:tc>
          <w:tcPr>
            <w:tcW w:w="73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0.8</w:t>
            </w:r>
          </w:p>
        </w:tc>
        <w:tc>
          <w:tcPr>
            <w:tcW w:w="65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0.9</w:t>
            </w:r>
          </w:p>
        </w:tc>
        <w:tc>
          <w:tcPr>
            <w:tcW w:w="65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0.9</w:t>
            </w:r>
          </w:p>
        </w:tc>
        <w:tc>
          <w:tcPr>
            <w:tcW w:w="705" w:type="dxa"/>
            <w:tcBorders>
              <w:top w:val="single" w:color="000000" w:sz="4" w:space="0"/>
              <w:left w:val="single" w:color="000000" w:sz="4" w:space="0"/>
              <w:bottom w:val="single" w:color="000000" w:sz="4" w:space="0"/>
              <w:right w:val="single" w:color="000000" w:sz="8" w:space="0"/>
            </w:tcBorders>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0.8</w:t>
            </w:r>
          </w:p>
        </w:tc>
      </w:tr>
      <w:tr>
        <w:tblPrEx>
          <w:tblCellMar>
            <w:top w:w="0" w:type="dxa"/>
            <w:left w:w="108" w:type="dxa"/>
            <w:bottom w:w="0" w:type="dxa"/>
            <w:right w:w="108" w:type="dxa"/>
          </w:tblCellMar>
        </w:tblPrEx>
        <w:trPr>
          <w:trHeight w:val="622" w:hRule="atLeast"/>
        </w:trPr>
        <w:tc>
          <w:tcPr>
            <w:tcW w:w="1052" w:type="dxa"/>
            <w:vMerge w:val="continue"/>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18"/>
                <w:szCs w:val="18"/>
              </w:rPr>
            </w:pPr>
          </w:p>
        </w:tc>
        <w:tc>
          <w:tcPr>
            <w:tcW w:w="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加温样</w:t>
            </w:r>
          </w:p>
        </w:tc>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0.9</w:t>
            </w:r>
          </w:p>
        </w:tc>
        <w:tc>
          <w:tcPr>
            <w:tcW w:w="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0.9</w:t>
            </w:r>
          </w:p>
        </w:tc>
        <w:tc>
          <w:tcPr>
            <w:tcW w:w="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1.0 </w:t>
            </w:r>
          </w:p>
        </w:tc>
        <w:tc>
          <w:tcPr>
            <w:tcW w:w="6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0.9 </w:t>
            </w: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0.9 </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1.0 </w:t>
            </w:r>
          </w:p>
        </w:tc>
        <w:tc>
          <w:tcPr>
            <w:tcW w:w="63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rPr>
                <w:rFonts w:ascii="宋体" w:hAnsi="宋体" w:eastAsia="宋体" w:cs="宋体"/>
                <w:color w:val="000000"/>
                <w:sz w:val="18"/>
                <w:szCs w:val="18"/>
              </w:rPr>
            </w:pPr>
          </w:p>
        </w:tc>
        <w:tc>
          <w:tcPr>
            <w:tcW w:w="623"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18"/>
                <w:szCs w:val="18"/>
              </w:rPr>
            </w:pPr>
          </w:p>
        </w:tc>
        <w:tc>
          <w:tcPr>
            <w:tcW w:w="732"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18"/>
                <w:szCs w:val="18"/>
              </w:rPr>
            </w:pPr>
          </w:p>
        </w:tc>
        <w:tc>
          <w:tcPr>
            <w:tcW w:w="654"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18"/>
                <w:szCs w:val="18"/>
              </w:rPr>
            </w:pPr>
          </w:p>
        </w:tc>
        <w:tc>
          <w:tcPr>
            <w:tcW w:w="654"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18"/>
                <w:szCs w:val="18"/>
              </w:rPr>
            </w:pPr>
          </w:p>
        </w:tc>
        <w:tc>
          <w:tcPr>
            <w:tcW w:w="705" w:type="dxa"/>
            <w:tcBorders>
              <w:top w:val="single" w:color="000000" w:sz="4" w:space="0"/>
              <w:left w:val="single" w:color="000000" w:sz="4" w:space="0"/>
              <w:bottom w:val="single" w:color="000000" w:sz="4" w:space="0"/>
              <w:right w:val="single" w:color="000000" w:sz="8" w:space="0"/>
            </w:tcBorders>
            <w:noWrap/>
            <w:vAlign w:val="center"/>
          </w:tcPr>
          <w:p>
            <w:pPr>
              <w:jc w:val="center"/>
              <w:rPr>
                <w:rFonts w:ascii="宋体" w:hAnsi="宋体" w:eastAsia="宋体" w:cs="宋体"/>
                <w:color w:val="000000"/>
                <w:sz w:val="18"/>
                <w:szCs w:val="18"/>
              </w:rPr>
            </w:pPr>
          </w:p>
        </w:tc>
      </w:tr>
      <w:tr>
        <w:tblPrEx>
          <w:tblCellMar>
            <w:top w:w="0" w:type="dxa"/>
            <w:left w:w="108" w:type="dxa"/>
            <w:bottom w:w="0" w:type="dxa"/>
            <w:right w:w="108" w:type="dxa"/>
          </w:tblCellMar>
        </w:tblPrEx>
        <w:trPr>
          <w:trHeight w:val="622" w:hRule="atLeast"/>
        </w:trPr>
        <w:tc>
          <w:tcPr>
            <w:tcW w:w="1052" w:type="dxa"/>
            <w:vMerge w:val="restart"/>
            <w:tcBorders>
              <w:top w:val="single" w:color="000000" w:sz="4" w:space="0"/>
              <w:left w:val="single" w:color="000000" w:sz="8"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酸值</w:t>
            </w:r>
          </w:p>
        </w:tc>
        <w:tc>
          <w:tcPr>
            <w:tcW w:w="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常温样</w:t>
            </w:r>
          </w:p>
        </w:tc>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1.26</w:t>
            </w:r>
          </w:p>
        </w:tc>
        <w:tc>
          <w:tcPr>
            <w:tcW w:w="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1.25</w:t>
            </w:r>
          </w:p>
        </w:tc>
        <w:tc>
          <w:tcPr>
            <w:tcW w:w="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1.34</w:t>
            </w:r>
          </w:p>
        </w:tc>
        <w:tc>
          <w:tcPr>
            <w:tcW w:w="6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1.34</w:t>
            </w: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1.31</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1.28</w:t>
            </w:r>
          </w:p>
        </w:tc>
        <w:tc>
          <w:tcPr>
            <w:tcW w:w="63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rPr>
                <w:rFonts w:ascii="宋体" w:hAnsi="宋体" w:eastAsia="宋体" w:cs="宋体"/>
                <w:color w:val="000000"/>
                <w:sz w:val="18"/>
                <w:szCs w:val="18"/>
              </w:rPr>
            </w:pPr>
            <w:r>
              <w:rPr>
                <w:rFonts w:hint="eastAsia" w:ascii="宋体" w:hAnsi="宋体" w:eastAsia="宋体" w:cs="宋体"/>
                <w:color w:val="000000"/>
                <w:sz w:val="18"/>
                <w:szCs w:val="18"/>
              </w:rPr>
              <w:t>1.05</w:t>
            </w:r>
          </w:p>
        </w:tc>
        <w:tc>
          <w:tcPr>
            <w:tcW w:w="62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0.83</w:t>
            </w:r>
          </w:p>
        </w:tc>
        <w:tc>
          <w:tcPr>
            <w:tcW w:w="73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0.88</w:t>
            </w:r>
          </w:p>
        </w:tc>
        <w:tc>
          <w:tcPr>
            <w:tcW w:w="65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0.95</w:t>
            </w:r>
          </w:p>
        </w:tc>
        <w:tc>
          <w:tcPr>
            <w:tcW w:w="65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0.94</w:t>
            </w:r>
          </w:p>
        </w:tc>
        <w:tc>
          <w:tcPr>
            <w:tcW w:w="705" w:type="dxa"/>
            <w:tcBorders>
              <w:top w:val="single" w:color="000000" w:sz="4" w:space="0"/>
              <w:left w:val="single" w:color="000000" w:sz="4" w:space="0"/>
              <w:bottom w:val="single" w:color="000000" w:sz="4" w:space="0"/>
              <w:right w:val="single" w:color="000000" w:sz="8" w:space="0"/>
            </w:tcBorders>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0.9</w:t>
            </w:r>
          </w:p>
        </w:tc>
      </w:tr>
      <w:tr>
        <w:tblPrEx>
          <w:tblCellMar>
            <w:top w:w="0" w:type="dxa"/>
            <w:left w:w="108" w:type="dxa"/>
            <w:bottom w:w="0" w:type="dxa"/>
            <w:right w:w="108" w:type="dxa"/>
          </w:tblCellMar>
        </w:tblPrEx>
        <w:trPr>
          <w:trHeight w:val="622" w:hRule="atLeast"/>
        </w:trPr>
        <w:tc>
          <w:tcPr>
            <w:tcW w:w="1052" w:type="dxa"/>
            <w:vMerge w:val="continue"/>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18"/>
                <w:szCs w:val="18"/>
              </w:rPr>
            </w:pPr>
          </w:p>
        </w:tc>
        <w:tc>
          <w:tcPr>
            <w:tcW w:w="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加温样</w:t>
            </w:r>
          </w:p>
        </w:tc>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1.19</w:t>
            </w:r>
          </w:p>
        </w:tc>
        <w:tc>
          <w:tcPr>
            <w:tcW w:w="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1.21</w:t>
            </w:r>
          </w:p>
        </w:tc>
        <w:tc>
          <w:tcPr>
            <w:tcW w:w="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1.31</w:t>
            </w:r>
          </w:p>
        </w:tc>
        <w:tc>
          <w:tcPr>
            <w:tcW w:w="6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1.26</w:t>
            </w: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1.29</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1.25</w:t>
            </w:r>
          </w:p>
        </w:tc>
        <w:tc>
          <w:tcPr>
            <w:tcW w:w="63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rPr>
                <w:rFonts w:ascii="宋体" w:hAnsi="宋体" w:eastAsia="宋体" w:cs="宋体"/>
                <w:color w:val="000000"/>
                <w:sz w:val="18"/>
                <w:szCs w:val="18"/>
              </w:rPr>
            </w:pPr>
          </w:p>
        </w:tc>
        <w:tc>
          <w:tcPr>
            <w:tcW w:w="623"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18"/>
                <w:szCs w:val="18"/>
              </w:rPr>
            </w:pPr>
          </w:p>
        </w:tc>
        <w:tc>
          <w:tcPr>
            <w:tcW w:w="732" w:type="dxa"/>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sz w:val="18"/>
                <w:szCs w:val="18"/>
              </w:rPr>
            </w:pPr>
          </w:p>
        </w:tc>
        <w:tc>
          <w:tcPr>
            <w:tcW w:w="654"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18"/>
                <w:szCs w:val="18"/>
              </w:rPr>
            </w:pPr>
          </w:p>
        </w:tc>
        <w:tc>
          <w:tcPr>
            <w:tcW w:w="654"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18"/>
                <w:szCs w:val="18"/>
              </w:rPr>
            </w:pPr>
          </w:p>
        </w:tc>
        <w:tc>
          <w:tcPr>
            <w:tcW w:w="705" w:type="dxa"/>
            <w:tcBorders>
              <w:top w:val="single" w:color="000000" w:sz="4" w:space="0"/>
              <w:left w:val="single" w:color="000000" w:sz="4" w:space="0"/>
              <w:bottom w:val="single" w:color="000000" w:sz="4" w:space="0"/>
              <w:right w:val="single" w:color="000000" w:sz="8" w:space="0"/>
            </w:tcBorders>
            <w:noWrap/>
            <w:vAlign w:val="center"/>
          </w:tcPr>
          <w:p>
            <w:pPr>
              <w:jc w:val="center"/>
              <w:rPr>
                <w:rFonts w:ascii="宋体" w:hAnsi="宋体" w:eastAsia="宋体" w:cs="宋体"/>
                <w:color w:val="000000"/>
                <w:sz w:val="18"/>
                <w:szCs w:val="18"/>
              </w:rPr>
            </w:pPr>
          </w:p>
        </w:tc>
      </w:tr>
      <w:tr>
        <w:tblPrEx>
          <w:tblCellMar>
            <w:top w:w="0" w:type="dxa"/>
            <w:left w:w="108" w:type="dxa"/>
            <w:bottom w:w="0" w:type="dxa"/>
            <w:right w:w="108" w:type="dxa"/>
          </w:tblCellMar>
        </w:tblPrEx>
        <w:trPr>
          <w:trHeight w:val="632" w:hRule="atLeast"/>
        </w:trPr>
        <w:tc>
          <w:tcPr>
            <w:tcW w:w="1837"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加速氧化沉淀物，％（质量分数）</w:t>
            </w:r>
          </w:p>
        </w:tc>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18"/>
                <w:szCs w:val="18"/>
              </w:rPr>
            </w:pPr>
          </w:p>
        </w:tc>
        <w:tc>
          <w:tcPr>
            <w:tcW w:w="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18"/>
                <w:szCs w:val="18"/>
              </w:rPr>
            </w:pPr>
          </w:p>
        </w:tc>
        <w:tc>
          <w:tcPr>
            <w:tcW w:w="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18"/>
                <w:szCs w:val="18"/>
              </w:rPr>
            </w:pPr>
          </w:p>
        </w:tc>
        <w:tc>
          <w:tcPr>
            <w:tcW w:w="6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18"/>
                <w:szCs w:val="18"/>
              </w:rPr>
            </w:pP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0.03</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18"/>
                <w:szCs w:val="18"/>
              </w:rPr>
            </w:pPr>
          </w:p>
        </w:tc>
        <w:tc>
          <w:tcPr>
            <w:tcW w:w="63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rPr>
                <w:rFonts w:ascii="宋体" w:hAnsi="宋体" w:eastAsia="宋体" w:cs="宋体"/>
                <w:color w:val="000000"/>
                <w:sz w:val="18"/>
                <w:szCs w:val="18"/>
              </w:rPr>
            </w:pPr>
          </w:p>
        </w:tc>
        <w:tc>
          <w:tcPr>
            <w:tcW w:w="623" w:type="dxa"/>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sz w:val="18"/>
                <w:szCs w:val="18"/>
              </w:rPr>
            </w:pPr>
          </w:p>
        </w:tc>
        <w:tc>
          <w:tcPr>
            <w:tcW w:w="732" w:type="dxa"/>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sz w:val="18"/>
                <w:szCs w:val="18"/>
              </w:rPr>
            </w:pPr>
          </w:p>
        </w:tc>
        <w:tc>
          <w:tcPr>
            <w:tcW w:w="654" w:type="dxa"/>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sz w:val="18"/>
                <w:szCs w:val="18"/>
              </w:rPr>
            </w:pPr>
          </w:p>
        </w:tc>
        <w:tc>
          <w:tcPr>
            <w:tcW w:w="654" w:type="dxa"/>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sz w:val="18"/>
                <w:szCs w:val="18"/>
              </w:rPr>
            </w:pPr>
          </w:p>
        </w:tc>
        <w:tc>
          <w:tcPr>
            <w:tcW w:w="705" w:type="dxa"/>
            <w:tcBorders>
              <w:top w:val="single" w:color="000000" w:sz="4" w:space="0"/>
              <w:left w:val="single" w:color="000000" w:sz="4" w:space="0"/>
              <w:bottom w:val="single" w:color="000000" w:sz="4" w:space="0"/>
              <w:right w:val="single" w:color="000000" w:sz="8" w:space="0"/>
            </w:tcBorders>
            <w:noWrap/>
            <w:vAlign w:val="center"/>
          </w:tcPr>
          <w:p>
            <w:pPr>
              <w:rPr>
                <w:rFonts w:ascii="宋体" w:hAnsi="宋体" w:eastAsia="宋体" w:cs="宋体"/>
                <w:color w:val="000000"/>
                <w:sz w:val="18"/>
                <w:szCs w:val="18"/>
              </w:rPr>
            </w:pPr>
          </w:p>
        </w:tc>
      </w:tr>
    </w:tbl>
    <w:p>
      <w:pPr>
        <w:rPr>
          <w:rFonts w:eastAsia="宋体"/>
        </w:rPr>
      </w:pPr>
    </w:p>
    <w:tbl>
      <w:tblPr>
        <w:tblStyle w:val="4"/>
        <w:tblW w:w="10058" w:type="dxa"/>
        <w:tblInd w:w="-226" w:type="dxa"/>
        <w:tblLayout w:type="fixed"/>
        <w:tblCellMar>
          <w:top w:w="0" w:type="dxa"/>
          <w:left w:w="108" w:type="dxa"/>
          <w:bottom w:w="0" w:type="dxa"/>
          <w:right w:w="108" w:type="dxa"/>
        </w:tblCellMar>
      </w:tblPr>
      <w:tblGrid>
        <w:gridCol w:w="2889"/>
        <w:gridCol w:w="1171"/>
        <w:gridCol w:w="1155"/>
        <w:gridCol w:w="1348"/>
        <w:gridCol w:w="1126"/>
        <w:gridCol w:w="1141"/>
        <w:gridCol w:w="1228"/>
      </w:tblGrid>
      <w:tr>
        <w:tblPrEx>
          <w:tblCellMar>
            <w:top w:w="0" w:type="dxa"/>
            <w:left w:w="108" w:type="dxa"/>
            <w:bottom w:w="0" w:type="dxa"/>
            <w:right w:w="108" w:type="dxa"/>
          </w:tblCellMar>
        </w:tblPrEx>
        <w:trPr>
          <w:trHeight w:val="728" w:hRule="atLeast"/>
        </w:trPr>
        <w:tc>
          <w:tcPr>
            <w:tcW w:w="2889" w:type="dxa"/>
            <w:tcBorders>
              <w:top w:val="single" w:color="000000" w:sz="8" w:space="0"/>
              <w:left w:val="single" w:color="000000" w:sz="8"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后续跟踪（B30生物燃料）</w:t>
            </w:r>
          </w:p>
        </w:tc>
        <w:tc>
          <w:tcPr>
            <w:tcW w:w="1171" w:type="dxa"/>
            <w:tcBorders>
              <w:top w:val="single" w:color="000000" w:sz="8"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8月1日</w:t>
            </w:r>
          </w:p>
        </w:tc>
        <w:tc>
          <w:tcPr>
            <w:tcW w:w="1155" w:type="dxa"/>
            <w:tcBorders>
              <w:top w:val="single" w:color="000000" w:sz="8"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8月15日</w:t>
            </w:r>
          </w:p>
        </w:tc>
        <w:tc>
          <w:tcPr>
            <w:tcW w:w="1348" w:type="dxa"/>
            <w:tcBorders>
              <w:top w:val="single" w:color="000000" w:sz="8"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9月1日</w:t>
            </w:r>
          </w:p>
        </w:tc>
        <w:tc>
          <w:tcPr>
            <w:tcW w:w="1126" w:type="dxa"/>
            <w:tcBorders>
              <w:top w:val="single" w:color="000000" w:sz="8"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9月15日</w:t>
            </w:r>
          </w:p>
        </w:tc>
        <w:tc>
          <w:tcPr>
            <w:tcW w:w="1141" w:type="dxa"/>
            <w:tcBorders>
              <w:top w:val="single" w:color="000000" w:sz="8"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10月1日</w:t>
            </w:r>
          </w:p>
        </w:tc>
        <w:tc>
          <w:tcPr>
            <w:tcW w:w="1228" w:type="dxa"/>
            <w:tcBorders>
              <w:top w:val="single" w:color="000000" w:sz="8"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10月15日</w:t>
            </w:r>
          </w:p>
        </w:tc>
      </w:tr>
      <w:tr>
        <w:tblPrEx>
          <w:tblCellMar>
            <w:top w:w="0" w:type="dxa"/>
            <w:left w:w="108" w:type="dxa"/>
            <w:bottom w:w="0" w:type="dxa"/>
            <w:right w:w="108" w:type="dxa"/>
          </w:tblCellMar>
        </w:tblPrEx>
        <w:trPr>
          <w:trHeight w:val="486" w:hRule="atLeast"/>
        </w:trPr>
        <w:tc>
          <w:tcPr>
            <w:tcW w:w="2889" w:type="dxa"/>
            <w:tcBorders>
              <w:top w:val="single" w:color="000000" w:sz="4" w:space="0"/>
              <w:left w:val="single" w:color="000000" w:sz="8"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总加速沉淀物</w:t>
            </w:r>
          </w:p>
        </w:tc>
        <w:tc>
          <w:tcPr>
            <w:tcW w:w="117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0.01</w:t>
            </w:r>
          </w:p>
        </w:tc>
        <w:tc>
          <w:tcPr>
            <w:tcW w:w="115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0.01</w:t>
            </w:r>
          </w:p>
        </w:tc>
        <w:tc>
          <w:tcPr>
            <w:tcW w:w="134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0.01</w:t>
            </w:r>
          </w:p>
        </w:tc>
        <w:tc>
          <w:tcPr>
            <w:tcW w:w="112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0.01</w:t>
            </w:r>
          </w:p>
        </w:tc>
        <w:tc>
          <w:tcPr>
            <w:tcW w:w="11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0.01</w:t>
            </w:r>
          </w:p>
        </w:tc>
        <w:tc>
          <w:tcPr>
            <w:tcW w:w="122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0.01</w:t>
            </w:r>
          </w:p>
        </w:tc>
      </w:tr>
      <w:tr>
        <w:tblPrEx>
          <w:tblCellMar>
            <w:top w:w="0" w:type="dxa"/>
            <w:left w:w="108" w:type="dxa"/>
            <w:bottom w:w="0" w:type="dxa"/>
            <w:right w:w="108" w:type="dxa"/>
          </w:tblCellMar>
        </w:tblPrEx>
        <w:trPr>
          <w:trHeight w:val="486" w:hRule="atLeast"/>
        </w:trPr>
        <w:tc>
          <w:tcPr>
            <w:tcW w:w="2889" w:type="dxa"/>
            <w:tcBorders>
              <w:top w:val="single" w:color="000000" w:sz="4" w:space="0"/>
              <w:left w:val="single" w:color="000000" w:sz="8"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相容性，级</w:t>
            </w:r>
          </w:p>
        </w:tc>
        <w:tc>
          <w:tcPr>
            <w:tcW w:w="117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115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134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112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1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22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r>
      <w:tr>
        <w:tblPrEx>
          <w:tblCellMar>
            <w:top w:w="0" w:type="dxa"/>
            <w:left w:w="108" w:type="dxa"/>
            <w:bottom w:w="0" w:type="dxa"/>
            <w:right w:w="108" w:type="dxa"/>
          </w:tblCellMar>
        </w:tblPrEx>
        <w:trPr>
          <w:trHeight w:val="486" w:hRule="atLeast"/>
        </w:trPr>
        <w:tc>
          <w:tcPr>
            <w:tcW w:w="2889" w:type="dxa"/>
            <w:tcBorders>
              <w:top w:val="single" w:color="000000" w:sz="4" w:space="0"/>
              <w:left w:val="single" w:color="000000" w:sz="8"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重油稳定性</w:t>
            </w:r>
          </w:p>
        </w:tc>
        <w:tc>
          <w:tcPr>
            <w:tcW w:w="117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0.9</w:t>
            </w:r>
          </w:p>
        </w:tc>
        <w:tc>
          <w:tcPr>
            <w:tcW w:w="115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0.9</w:t>
            </w:r>
          </w:p>
        </w:tc>
        <w:tc>
          <w:tcPr>
            <w:tcW w:w="134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0.8</w:t>
            </w:r>
          </w:p>
        </w:tc>
        <w:tc>
          <w:tcPr>
            <w:tcW w:w="112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0.9</w:t>
            </w:r>
          </w:p>
        </w:tc>
        <w:tc>
          <w:tcPr>
            <w:tcW w:w="11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0.9</w:t>
            </w:r>
          </w:p>
        </w:tc>
        <w:tc>
          <w:tcPr>
            <w:tcW w:w="122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0.9</w:t>
            </w:r>
          </w:p>
        </w:tc>
      </w:tr>
      <w:tr>
        <w:tblPrEx>
          <w:tblCellMar>
            <w:top w:w="0" w:type="dxa"/>
            <w:left w:w="108" w:type="dxa"/>
            <w:bottom w:w="0" w:type="dxa"/>
            <w:right w:w="108" w:type="dxa"/>
          </w:tblCellMar>
        </w:tblPrEx>
        <w:trPr>
          <w:trHeight w:val="497" w:hRule="atLeast"/>
        </w:trPr>
        <w:tc>
          <w:tcPr>
            <w:tcW w:w="2889" w:type="dxa"/>
            <w:tcBorders>
              <w:top w:val="single" w:color="000000" w:sz="4" w:space="0"/>
              <w:left w:val="single" w:color="000000" w:sz="8"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酸值</w:t>
            </w:r>
          </w:p>
        </w:tc>
        <w:tc>
          <w:tcPr>
            <w:tcW w:w="117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0.89</w:t>
            </w:r>
          </w:p>
        </w:tc>
        <w:tc>
          <w:tcPr>
            <w:tcW w:w="115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0.84</w:t>
            </w:r>
          </w:p>
        </w:tc>
        <w:tc>
          <w:tcPr>
            <w:tcW w:w="134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0.84</w:t>
            </w:r>
          </w:p>
        </w:tc>
        <w:tc>
          <w:tcPr>
            <w:tcW w:w="112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0.89</w:t>
            </w:r>
          </w:p>
        </w:tc>
        <w:tc>
          <w:tcPr>
            <w:tcW w:w="11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0.86</w:t>
            </w:r>
          </w:p>
        </w:tc>
        <w:tc>
          <w:tcPr>
            <w:tcW w:w="122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0.89</w:t>
            </w:r>
          </w:p>
        </w:tc>
      </w:tr>
    </w:tbl>
    <w:p>
      <w:pPr>
        <w:rPr>
          <w:rFonts w:eastAsia="宋体"/>
        </w:rPr>
      </w:pPr>
    </w:p>
    <w:p>
      <w:pPr>
        <w:spacing w:line="360" w:lineRule="auto"/>
        <w:ind w:firstLine="420" w:firstLineChars="200"/>
        <w:rPr>
          <w:rFonts w:eastAsia="宋体"/>
        </w:rPr>
      </w:pPr>
      <w:r>
        <w:rPr>
          <w:rFonts w:hint="eastAsia" w:eastAsia="宋体"/>
        </w:rPr>
        <w:t>根据上述实验数据可知，调配的船用生物燃料油的稳定性是可以保障的。</w:t>
      </w:r>
    </w:p>
    <w:p>
      <w:pPr>
        <w:spacing w:line="360" w:lineRule="auto"/>
        <w:ind w:firstLine="383"/>
        <w:rPr>
          <w:rFonts w:eastAsia="宋体"/>
        </w:rPr>
      </w:pPr>
      <w:r>
        <w:rPr>
          <w:rFonts w:hint="eastAsia" w:eastAsia="宋体"/>
        </w:rPr>
        <w:t>本实验室对自调2000吨B24船用生物燃料油进行跟踪试验，验证样品的均匀性与稳定性。首先通过密度验证样品的均匀性，不同点位取样的样品密度结果如下：</w:t>
      </w:r>
    </w:p>
    <w:tbl>
      <w:tblPr>
        <w:tblStyle w:val="5"/>
        <w:tblW w:w="91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0"/>
        <w:gridCol w:w="1561"/>
        <w:gridCol w:w="2187"/>
        <w:gridCol w:w="1028"/>
        <w:gridCol w:w="1088"/>
        <w:gridCol w:w="2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0" w:type="auto"/>
          </w:tcPr>
          <w:p>
            <w:pPr>
              <w:spacing w:line="360" w:lineRule="auto"/>
              <w:jc w:val="center"/>
              <w:rPr>
                <w:rFonts w:eastAsia="宋体"/>
              </w:rPr>
            </w:pPr>
            <w:r>
              <w:rPr>
                <w:rFonts w:hint="eastAsia" w:eastAsia="宋体"/>
              </w:rPr>
              <w:t>序号</w:t>
            </w:r>
          </w:p>
        </w:tc>
        <w:tc>
          <w:tcPr>
            <w:tcW w:w="0" w:type="auto"/>
          </w:tcPr>
          <w:p>
            <w:pPr>
              <w:spacing w:line="360" w:lineRule="auto"/>
              <w:jc w:val="center"/>
              <w:rPr>
                <w:rFonts w:eastAsia="宋体"/>
              </w:rPr>
            </w:pPr>
            <w:r>
              <w:rPr>
                <w:rFonts w:hint="eastAsia" w:eastAsia="宋体"/>
              </w:rPr>
              <w:t>取样点位</w:t>
            </w:r>
          </w:p>
        </w:tc>
        <w:tc>
          <w:tcPr>
            <w:tcW w:w="0" w:type="auto"/>
          </w:tcPr>
          <w:p>
            <w:pPr>
              <w:spacing w:line="360" w:lineRule="auto"/>
              <w:jc w:val="center"/>
              <w:rPr>
                <w:rFonts w:eastAsia="宋体"/>
              </w:rPr>
            </w:pPr>
            <w:r>
              <w:rPr>
                <w:rFonts w:hint="eastAsia" w:eastAsia="宋体"/>
              </w:rPr>
              <w:t>检测项目</w:t>
            </w:r>
          </w:p>
        </w:tc>
        <w:tc>
          <w:tcPr>
            <w:tcW w:w="0" w:type="auto"/>
          </w:tcPr>
          <w:p>
            <w:pPr>
              <w:spacing w:line="360" w:lineRule="auto"/>
              <w:jc w:val="center"/>
              <w:rPr>
                <w:rFonts w:eastAsia="宋体"/>
              </w:rPr>
            </w:pPr>
            <w:r>
              <w:rPr>
                <w:rFonts w:hint="eastAsia" w:eastAsia="宋体"/>
              </w:rPr>
              <w:t>结果</w:t>
            </w:r>
          </w:p>
        </w:tc>
        <w:tc>
          <w:tcPr>
            <w:tcW w:w="0" w:type="auto"/>
          </w:tcPr>
          <w:p>
            <w:pPr>
              <w:spacing w:line="360" w:lineRule="auto"/>
              <w:jc w:val="center"/>
              <w:rPr>
                <w:rFonts w:eastAsia="宋体"/>
              </w:rPr>
            </w:pPr>
            <w:r>
              <w:rPr>
                <w:rFonts w:hint="eastAsia" w:eastAsia="宋体"/>
              </w:rPr>
              <w:t>单位</w:t>
            </w:r>
          </w:p>
        </w:tc>
        <w:tc>
          <w:tcPr>
            <w:tcW w:w="0" w:type="auto"/>
          </w:tcPr>
          <w:p>
            <w:pPr>
              <w:spacing w:line="360" w:lineRule="auto"/>
              <w:jc w:val="center"/>
              <w:rPr>
                <w:rFonts w:eastAsia="宋体"/>
              </w:rPr>
            </w:pPr>
            <w:r>
              <w:rPr>
                <w:rFonts w:hint="eastAsia" w:eastAsia="宋体"/>
              </w:rPr>
              <w:t>检测方法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0" w:type="auto"/>
          </w:tcPr>
          <w:p>
            <w:pPr>
              <w:spacing w:line="360" w:lineRule="auto"/>
              <w:jc w:val="center"/>
              <w:rPr>
                <w:rFonts w:eastAsia="宋体"/>
              </w:rPr>
            </w:pPr>
            <w:r>
              <w:rPr>
                <w:rFonts w:hint="eastAsia" w:eastAsia="宋体"/>
              </w:rPr>
              <w:t>1</w:t>
            </w:r>
          </w:p>
        </w:tc>
        <w:tc>
          <w:tcPr>
            <w:tcW w:w="0" w:type="auto"/>
          </w:tcPr>
          <w:p>
            <w:pPr>
              <w:spacing w:line="360" w:lineRule="auto"/>
              <w:jc w:val="center"/>
              <w:rPr>
                <w:rFonts w:eastAsia="宋体"/>
              </w:rPr>
            </w:pPr>
            <w:r>
              <w:rPr>
                <w:rFonts w:hint="eastAsia" w:eastAsia="宋体"/>
              </w:rPr>
              <w:t>0.5米</w:t>
            </w:r>
          </w:p>
        </w:tc>
        <w:tc>
          <w:tcPr>
            <w:tcW w:w="0" w:type="auto"/>
          </w:tcPr>
          <w:p>
            <w:pPr>
              <w:spacing w:line="360" w:lineRule="auto"/>
              <w:jc w:val="center"/>
              <w:rPr>
                <w:rFonts w:eastAsia="宋体"/>
              </w:rPr>
            </w:pPr>
            <w:r>
              <w:rPr>
                <w:rFonts w:hint="eastAsia" w:eastAsia="宋体"/>
              </w:rPr>
              <w:t>密度（15℃）</w:t>
            </w:r>
          </w:p>
        </w:tc>
        <w:tc>
          <w:tcPr>
            <w:tcW w:w="0" w:type="auto"/>
          </w:tcPr>
          <w:p>
            <w:pPr>
              <w:spacing w:line="360" w:lineRule="auto"/>
              <w:jc w:val="center"/>
              <w:rPr>
                <w:rFonts w:eastAsia="宋体"/>
              </w:rPr>
            </w:pPr>
            <w:r>
              <w:rPr>
                <w:rFonts w:hint="eastAsia" w:eastAsia="宋体"/>
              </w:rPr>
              <w:t>925.6</w:t>
            </w:r>
          </w:p>
        </w:tc>
        <w:tc>
          <w:tcPr>
            <w:tcW w:w="0" w:type="auto"/>
          </w:tcPr>
          <w:p>
            <w:pPr>
              <w:spacing w:line="360" w:lineRule="auto"/>
              <w:jc w:val="center"/>
              <w:rPr>
                <w:rFonts w:eastAsia="宋体"/>
              </w:rPr>
            </w:pPr>
            <w:r>
              <w:rPr>
                <w:rFonts w:hint="eastAsia" w:eastAsia="宋体"/>
              </w:rPr>
              <w:t>kg/m</w:t>
            </w:r>
            <w:r>
              <w:rPr>
                <w:rFonts w:hint="eastAsia" w:eastAsia="宋体"/>
                <w:vertAlign w:val="superscript"/>
              </w:rPr>
              <w:t>3</w:t>
            </w:r>
          </w:p>
        </w:tc>
        <w:tc>
          <w:tcPr>
            <w:tcW w:w="0" w:type="auto"/>
          </w:tcPr>
          <w:p>
            <w:pPr>
              <w:spacing w:line="360" w:lineRule="auto"/>
              <w:jc w:val="center"/>
              <w:rPr>
                <w:rFonts w:eastAsia="宋体"/>
              </w:rPr>
            </w:pPr>
            <w:r>
              <w:rPr>
                <w:rFonts w:hint="eastAsia" w:eastAsia="宋体"/>
              </w:rPr>
              <w:t>SH/T 0604-2000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0" w:type="auto"/>
          </w:tcPr>
          <w:p>
            <w:pPr>
              <w:spacing w:line="360" w:lineRule="auto"/>
              <w:jc w:val="center"/>
              <w:rPr>
                <w:rFonts w:eastAsia="宋体"/>
              </w:rPr>
            </w:pPr>
            <w:r>
              <w:rPr>
                <w:rFonts w:hint="eastAsia" w:eastAsia="宋体"/>
              </w:rPr>
              <w:t>2</w:t>
            </w:r>
          </w:p>
        </w:tc>
        <w:tc>
          <w:tcPr>
            <w:tcW w:w="0" w:type="auto"/>
          </w:tcPr>
          <w:p>
            <w:pPr>
              <w:spacing w:line="360" w:lineRule="auto"/>
              <w:jc w:val="center"/>
              <w:rPr>
                <w:rFonts w:eastAsia="宋体"/>
              </w:rPr>
            </w:pPr>
            <w:r>
              <w:rPr>
                <w:rFonts w:hint="eastAsia" w:eastAsia="宋体"/>
              </w:rPr>
              <w:t>2米</w:t>
            </w:r>
          </w:p>
        </w:tc>
        <w:tc>
          <w:tcPr>
            <w:tcW w:w="0" w:type="auto"/>
          </w:tcPr>
          <w:p>
            <w:pPr>
              <w:spacing w:line="360" w:lineRule="auto"/>
              <w:jc w:val="center"/>
              <w:rPr>
                <w:rFonts w:eastAsia="宋体"/>
              </w:rPr>
            </w:pPr>
            <w:r>
              <w:rPr>
                <w:rFonts w:hint="eastAsia" w:eastAsia="宋体"/>
              </w:rPr>
              <w:t>密度（15℃）</w:t>
            </w:r>
          </w:p>
        </w:tc>
        <w:tc>
          <w:tcPr>
            <w:tcW w:w="0" w:type="auto"/>
          </w:tcPr>
          <w:p>
            <w:pPr>
              <w:spacing w:line="360" w:lineRule="auto"/>
              <w:jc w:val="center"/>
              <w:rPr>
                <w:rFonts w:eastAsia="宋体"/>
              </w:rPr>
            </w:pPr>
            <w:r>
              <w:rPr>
                <w:rFonts w:hint="eastAsia" w:eastAsia="宋体"/>
              </w:rPr>
              <w:t>925.8</w:t>
            </w:r>
          </w:p>
        </w:tc>
        <w:tc>
          <w:tcPr>
            <w:tcW w:w="0" w:type="auto"/>
          </w:tcPr>
          <w:p>
            <w:pPr>
              <w:spacing w:line="360" w:lineRule="auto"/>
              <w:jc w:val="center"/>
              <w:rPr>
                <w:rFonts w:eastAsia="宋体"/>
              </w:rPr>
            </w:pPr>
            <w:r>
              <w:rPr>
                <w:rFonts w:hint="eastAsia" w:eastAsia="宋体"/>
              </w:rPr>
              <w:t>kg/m</w:t>
            </w:r>
            <w:r>
              <w:rPr>
                <w:rFonts w:hint="eastAsia" w:eastAsia="宋体"/>
                <w:vertAlign w:val="superscript"/>
              </w:rPr>
              <w:t>3</w:t>
            </w:r>
          </w:p>
        </w:tc>
        <w:tc>
          <w:tcPr>
            <w:tcW w:w="0" w:type="auto"/>
          </w:tcPr>
          <w:p>
            <w:pPr>
              <w:spacing w:line="360" w:lineRule="auto"/>
              <w:jc w:val="center"/>
              <w:rPr>
                <w:rFonts w:eastAsia="宋体"/>
              </w:rPr>
            </w:pPr>
            <w:r>
              <w:rPr>
                <w:rFonts w:hint="eastAsia" w:eastAsia="宋体"/>
              </w:rPr>
              <w:t>SH/T 0604-2000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0" w:type="auto"/>
          </w:tcPr>
          <w:p>
            <w:pPr>
              <w:spacing w:line="360" w:lineRule="auto"/>
              <w:jc w:val="center"/>
              <w:rPr>
                <w:rFonts w:eastAsia="宋体"/>
              </w:rPr>
            </w:pPr>
            <w:r>
              <w:rPr>
                <w:rFonts w:hint="eastAsia" w:eastAsia="宋体"/>
              </w:rPr>
              <w:t>3</w:t>
            </w:r>
          </w:p>
        </w:tc>
        <w:tc>
          <w:tcPr>
            <w:tcW w:w="0" w:type="auto"/>
          </w:tcPr>
          <w:p>
            <w:pPr>
              <w:spacing w:line="360" w:lineRule="auto"/>
              <w:jc w:val="center"/>
              <w:rPr>
                <w:rFonts w:eastAsia="宋体"/>
              </w:rPr>
            </w:pPr>
            <w:r>
              <w:rPr>
                <w:rFonts w:hint="eastAsia" w:eastAsia="宋体"/>
              </w:rPr>
              <w:t>4米</w:t>
            </w:r>
          </w:p>
        </w:tc>
        <w:tc>
          <w:tcPr>
            <w:tcW w:w="0" w:type="auto"/>
          </w:tcPr>
          <w:p>
            <w:pPr>
              <w:spacing w:line="360" w:lineRule="auto"/>
              <w:jc w:val="center"/>
              <w:rPr>
                <w:rFonts w:eastAsia="宋体"/>
              </w:rPr>
            </w:pPr>
            <w:r>
              <w:rPr>
                <w:rFonts w:hint="eastAsia" w:eastAsia="宋体"/>
              </w:rPr>
              <w:t>密度（15℃）</w:t>
            </w:r>
          </w:p>
        </w:tc>
        <w:tc>
          <w:tcPr>
            <w:tcW w:w="0" w:type="auto"/>
          </w:tcPr>
          <w:p>
            <w:pPr>
              <w:spacing w:line="360" w:lineRule="auto"/>
              <w:jc w:val="center"/>
              <w:rPr>
                <w:rFonts w:eastAsia="宋体"/>
              </w:rPr>
            </w:pPr>
            <w:r>
              <w:rPr>
                <w:rFonts w:hint="eastAsia" w:eastAsia="宋体"/>
              </w:rPr>
              <w:t>926.0</w:t>
            </w:r>
          </w:p>
        </w:tc>
        <w:tc>
          <w:tcPr>
            <w:tcW w:w="0" w:type="auto"/>
          </w:tcPr>
          <w:p>
            <w:pPr>
              <w:spacing w:line="360" w:lineRule="auto"/>
              <w:jc w:val="center"/>
              <w:rPr>
                <w:rFonts w:eastAsia="宋体"/>
              </w:rPr>
            </w:pPr>
            <w:r>
              <w:rPr>
                <w:rFonts w:hint="eastAsia" w:eastAsia="宋体"/>
              </w:rPr>
              <w:t>kg/m</w:t>
            </w:r>
            <w:r>
              <w:rPr>
                <w:rFonts w:hint="eastAsia" w:eastAsia="宋体"/>
                <w:vertAlign w:val="superscript"/>
              </w:rPr>
              <w:t>3</w:t>
            </w:r>
          </w:p>
        </w:tc>
        <w:tc>
          <w:tcPr>
            <w:tcW w:w="0" w:type="auto"/>
          </w:tcPr>
          <w:p>
            <w:pPr>
              <w:spacing w:line="360" w:lineRule="auto"/>
              <w:jc w:val="center"/>
              <w:rPr>
                <w:rFonts w:eastAsia="宋体"/>
              </w:rPr>
            </w:pPr>
            <w:r>
              <w:rPr>
                <w:rFonts w:hint="eastAsia" w:eastAsia="宋体"/>
              </w:rPr>
              <w:t>SH/T 0604-2000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0" w:type="auto"/>
          </w:tcPr>
          <w:p>
            <w:pPr>
              <w:spacing w:line="360" w:lineRule="auto"/>
              <w:jc w:val="center"/>
              <w:rPr>
                <w:rFonts w:eastAsia="宋体"/>
              </w:rPr>
            </w:pPr>
            <w:r>
              <w:rPr>
                <w:rFonts w:hint="eastAsia" w:eastAsia="宋体"/>
              </w:rPr>
              <w:t>4</w:t>
            </w:r>
          </w:p>
        </w:tc>
        <w:tc>
          <w:tcPr>
            <w:tcW w:w="0" w:type="auto"/>
          </w:tcPr>
          <w:p>
            <w:pPr>
              <w:spacing w:line="360" w:lineRule="auto"/>
              <w:jc w:val="center"/>
              <w:rPr>
                <w:rFonts w:eastAsia="宋体"/>
              </w:rPr>
            </w:pPr>
            <w:r>
              <w:rPr>
                <w:rFonts w:hint="eastAsia" w:eastAsia="宋体"/>
              </w:rPr>
              <w:t>6米</w:t>
            </w:r>
          </w:p>
        </w:tc>
        <w:tc>
          <w:tcPr>
            <w:tcW w:w="0" w:type="auto"/>
          </w:tcPr>
          <w:p>
            <w:pPr>
              <w:spacing w:line="360" w:lineRule="auto"/>
              <w:jc w:val="center"/>
              <w:rPr>
                <w:rFonts w:eastAsia="宋体"/>
              </w:rPr>
            </w:pPr>
            <w:r>
              <w:rPr>
                <w:rFonts w:hint="eastAsia" w:eastAsia="宋体"/>
              </w:rPr>
              <w:t>密度（15℃）</w:t>
            </w:r>
          </w:p>
        </w:tc>
        <w:tc>
          <w:tcPr>
            <w:tcW w:w="0" w:type="auto"/>
          </w:tcPr>
          <w:p>
            <w:pPr>
              <w:spacing w:line="360" w:lineRule="auto"/>
              <w:jc w:val="center"/>
              <w:rPr>
                <w:rFonts w:eastAsia="宋体"/>
              </w:rPr>
            </w:pPr>
            <w:r>
              <w:rPr>
                <w:rFonts w:hint="eastAsia" w:eastAsia="宋体"/>
              </w:rPr>
              <w:t>926.0</w:t>
            </w:r>
          </w:p>
        </w:tc>
        <w:tc>
          <w:tcPr>
            <w:tcW w:w="0" w:type="auto"/>
          </w:tcPr>
          <w:p>
            <w:pPr>
              <w:spacing w:line="360" w:lineRule="auto"/>
              <w:jc w:val="center"/>
              <w:rPr>
                <w:rFonts w:eastAsia="宋体"/>
              </w:rPr>
            </w:pPr>
            <w:r>
              <w:rPr>
                <w:rFonts w:hint="eastAsia" w:eastAsia="宋体"/>
              </w:rPr>
              <w:t>kg/m</w:t>
            </w:r>
            <w:r>
              <w:rPr>
                <w:rFonts w:hint="eastAsia" w:eastAsia="宋体"/>
                <w:vertAlign w:val="superscript"/>
              </w:rPr>
              <w:t>3</w:t>
            </w:r>
          </w:p>
        </w:tc>
        <w:tc>
          <w:tcPr>
            <w:tcW w:w="0" w:type="auto"/>
          </w:tcPr>
          <w:p>
            <w:pPr>
              <w:spacing w:line="360" w:lineRule="auto"/>
              <w:jc w:val="center"/>
              <w:rPr>
                <w:rFonts w:eastAsia="宋体"/>
              </w:rPr>
            </w:pPr>
            <w:r>
              <w:rPr>
                <w:rFonts w:hint="eastAsia" w:eastAsia="宋体"/>
              </w:rPr>
              <w:t>SH/T 0604-2000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0" w:type="auto"/>
          </w:tcPr>
          <w:p>
            <w:pPr>
              <w:spacing w:line="360" w:lineRule="auto"/>
              <w:jc w:val="center"/>
              <w:rPr>
                <w:rFonts w:eastAsia="宋体"/>
              </w:rPr>
            </w:pPr>
            <w:r>
              <w:rPr>
                <w:rFonts w:hint="eastAsia" w:eastAsia="宋体"/>
              </w:rPr>
              <w:t>5</w:t>
            </w:r>
          </w:p>
        </w:tc>
        <w:tc>
          <w:tcPr>
            <w:tcW w:w="0" w:type="auto"/>
          </w:tcPr>
          <w:p>
            <w:pPr>
              <w:spacing w:line="360" w:lineRule="auto"/>
              <w:jc w:val="center"/>
              <w:rPr>
                <w:rFonts w:eastAsia="宋体"/>
              </w:rPr>
            </w:pPr>
            <w:r>
              <w:rPr>
                <w:rFonts w:hint="eastAsia" w:eastAsia="宋体"/>
              </w:rPr>
              <w:t>8米</w:t>
            </w:r>
          </w:p>
        </w:tc>
        <w:tc>
          <w:tcPr>
            <w:tcW w:w="0" w:type="auto"/>
          </w:tcPr>
          <w:p>
            <w:pPr>
              <w:spacing w:line="360" w:lineRule="auto"/>
              <w:jc w:val="center"/>
              <w:rPr>
                <w:rFonts w:eastAsia="宋体"/>
              </w:rPr>
            </w:pPr>
            <w:r>
              <w:rPr>
                <w:rFonts w:hint="eastAsia" w:eastAsia="宋体"/>
              </w:rPr>
              <w:t>密度（15℃）</w:t>
            </w:r>
          </w:p>
        </w:tc>
        <w:tc>
          <w:tcPr>
            <w:tcW w:w="0" w:type="auto"/>
          </w:tcPr>
          <w:p>
            <w:pPr>
              <w:spacing w:line="360" w:lineRule="auto"/>
              <w:jc w:val="center"/>
              <w:rPr>
                <w:rFonts w:eastAsia="宋体"/>
              </w:rPr>
            </w:pPr>
            <w:r>
              <w:rPr>
                <w:rFonts w:hint="eastAsia" w:eastAsia="宋体"/>
              </w:rPr>
              <w:t>926.0</w:t>
            </w:r>
          </w:p>
        </w:tc>
        <w:tc>
          <w:tcPr>
            <w:tcW w:w="0" w:type="auto"/>
          </w:tcPr>
          <w:p>
            <w:pPr>
              <w:spacing w:line="360" w:lineRule="auto"/>
              <w:jc w:val="center"/>
              <w:rPr>
                <w:rFonts w:eastAsia="宋体"/>
              </w:rPr>
            </w:pPr>
            <w:r>
              <w:rPr>
                <w:rFonts w:hint="eastAsia" w:eastAsia="宋体"/>
              </w:rPr>
              <w:t>kg/m</w:t>
            </w:r>
            <w:r>
              <w:rPr>
                <w:rFonts w:hint="eastAsia" w:eastAsia="宋体"/>
                <w:vertAlign w:val="superscript"/>
              </w:rPr>
              <w:t>3</w:t>
            </w:r>
          </w:p>
        </w:tc>
        <w:tc>
          <w:tcPr>
            <w:tcW w:w="0" w:type="auto"/>
          </w:tcPr>
          <w:p>
            <w:pPr>
              <w:spacing w:line="360" w:lineRule="auto"/>
              <w:jc w:val="center"/>
              <w:rPr>
                <w:rFonts w:eastAsia="宋体"/>
              </w:rPr>
            </w:pPr>
            <w:r>
              <w:rPr>
                <w:rFonts w:hint="eastAsia" w:eastAsia="宋体"/>
              </w:rPr>
              <w:t>SH/T 0604-2000</w:t>
            </w:r>
          </w:p>
        </w:tc>
      </w:tr>
    </w:tbl>
    <w:p>
      <w:pPr>
        <w:spacing w:line="360" w:lineRule="auto"/>
        <w:ind w:firstLine="383"/>
        <w:rPr>
          <w:rFonts w:eastAsia="宋体"/>
        </w:rPr>
      </w:pPr>
    </w:p>
    <w:p>
      <w:pPr>
        <w:spacing w:line="360" w:lineRule="auto"/>
        <w:ind w:firstLine="420" w:firstLineChars="200"/>
        <w:rPr>
          <w:rFonts w:eastAsia="宋体"/>
        </w:rPr>
      </w:pPr>
      <w:r>
        <w:rPr>
          <w:rFonts w:hint="eastAsia" w:eastAsia="宋体"/>
        </w:rPr>
        <w:t>由上表数据可知，混调样品的均匀性的可以保障的。</w:t>
      </w:r>
    </w:p>
    <w:p>
      <w:pPr>
        <w:spacing w:line="360" w:lineRule="auto"/>
        <w:rPr>
          <w:rFonts w:eastAsia="宋体"/>
        </w:rPr>
      </w:pPr>
      <w:r>
        <w:rPr>
          <w:rFonts w:hint="eastAsia" w:eastAsia="宋体"/>
        </w:rPr>
        <w:t xml:space="preserve">   本实验室通过测定不同时期的总沉淀物，验证样品的稳定性。不同时间点取样的总沉淀物结果如下：</w:t>
      </w:r>
    </w:p>
    <w:tbl>
      <w:tblPr>
        <w:tblStyle w:val="5"/>
        <w:tblpPr w:leftFromText="181" w:rightFromText="181" w:vertAnchor="text" w:horzAnchor="page" w:tblpXSpec="center" w:tblpY="438"/>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6"/>
        <w:gridCol w:w="1161"/>
        <w:gridCol w:w="2579"/>
        <w:gridCol w:w="976"/>
        <w:gridCol w:w="771"/>
        <w:gridCol w:w="23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0" w:type="auto"/>
          </w:tcPr>
          <w:p>
            <w:pPr>
              <w:spacing w:line="360" w:lineRule="auto"/>
              <w:jc w:val="center"/>
              <w:rPr>
                <w:rFonts w:ascii="Times New Roman" w:hAnsi="Times New Roman" w:eastAsia="宋体" w:cs="Times New Roman"/>
              </w:rPr>
            </w:pPr>
            <w:r>
              <w:rPr>
                <w:rFonts w:hint="eastAsia" w:ascii="Times New Roman" w:hAnsi="Times New Roman" w:eastAsia="宋体" w:cs="Times New Roman"/>
              </w:rPr>
              <w:t>序号</w:t>
            </w:r>
          </w:p>
        </w:tc>
        <w:tc>
          <w:tcPr>
            <w:tcW w:w="0" w:type="auto"/>
          </w:tcPr>
          <w:p>
            <w:pPr>
              <w:spacing w:line="360" w:lineRule="auto"/>
              <w:jc w:val="center"/>
              <w:rPr>
                <w:rFonts w:ascii="Times New Roman" w:hAnsi="Times New Roman" w:eastAsia="宋体" w:cs="Times New Roman"/>
              </w:rPr>
            </w:pPr>
            <w:r>
              <w:rPr>
                <w:rFonts w:hint="eastAsia" w:ascii="Times New Roman" w:hAnsi="Times New Roman" w:eastAsia="宋体" w:cs="Times New Roman"/>
              </w:rPr>
              <w:t>取样时间</w:t>
            </w:r>
          </w:p>
        </w:tc>
        <w:tc>
          <w:tcPr>
            <w:tcW w:w="0" w:type="auto"/>
          </w:tcPr>
          <w:p>
            <w:pPr>
              <w:spacing w:line="360" w:lineRule="auto"/>
              <w:jc w:val="center"/>
              <w:rPr>
                <w:rFonts w:ascii="Times New Roman" w:hAnsi="Times New Roman" w:eastAsia="宋体" w:cs="Times New Roman"/>
              </w:rPr>
            </w:pPr>
            <w:r>
              <w:rPr>
                <w:rFonts w:hint="eastAsia" w:ascii="Times New Roman" w:hAnsi="Times New Roman" w:eastAsia="宋体" w:cs="Times New Roman"/>
              </w:rPr>
              <w:t>检测项目</w:t>
            </w:r>
          </w:p>
        </w:tc>
        <w:tc>
          <w:tcPr>
            <w:tcW w:w="976" w:type="dxa"/>
          </w:tcPr>
          <w:p>
            <w:pPr>
              <w:spacing w:line="360" w:lineRule="auto"/>
              <w:jc w:val="center"/>
              <w:rPr>
                <w:rFonts w:ascii="Times New Roman" w:hAnsi="Times New Roman" w:eastAsia="宋体" w:cs="Times New Roman"/>
              </w:rPr>
            </w:pPr>
            <w:r>
              <w:rPr>
                <w:rFonts w:hint="eastAsia" w:ascii="Times New Roman" w:hAnsi="Times New Roman" w:eastAsia="宋体" w:cs="Times New Roman"/>
              </w:rPr>
              <w:t>结果</w:t>
            </w:r>
          </w:p>
        </w:tc>
        <w:tc>
          <w:tcPr>
            <w:tcW w:w="771" w:type="dxa"/>
          </w:tcPr>
          <w:p>
            <w:pPr>
              <w:spacing w:line="360" w:lineRule="auto"/>
              <w:jc w:val="center"/>
              <w:rPr>
                <w:rFonts w:ascii="Times New Roman" w:hAnsi="Times New Roman" w:eastAsia="宋体" w:cs="Times New Roman"/>
              </w:rPr>
            </w:pPr>
            <w:r>
              <w:rPr>
                <w:rFonts w:hint="eastAsia" w:ascii="Times New Roman" w:hAnsi="Times New Roman" w:eastAsia="宋体" w:cs="Times New Roman"/>
              </w:rPr>
              <w:t>单位</w:t>
            </w:r>
          </w:p>
        </w:tc>
        <w:tc>
          <w:tcPr>
            <w:tcW w:w="2366" w:type="dxa"/>
          </w:tcPr>
          <w:p>
            <w:pPr>
              <w:spacing w:line="360" w:lineRule="auto"/>
              <w:jc w:val="center"/>
              <w:rPr>
                <w:rFonts w:ascii="Times New Roman" w:hAnsi="Times New Roman" w:eastAsia="宋体" w:cs="Times New Roman"/>
              </w:rPr>
            </w:pPr>
            <w:r>
              <w:rPr>
                <w:rFonts w:hint="eastAsia" w:ascii="Times New Roman" w:hAnsi="Times New Roman" w:eastAsia="宋体" w:cs="Times New Roman"/>
              </w:rPr>
              <w:t>检测方法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0" w:type="auto"/>
          </w:tcPr>
          <w:p>
            <w:pPr>
              <w:spacing w:line="360" w:lineRule="auto"/>
              <w:jc w:val="center"/>
              <w:rPr>
                <w:rFonts w:ascii="Times New Roman" w:hAnsi="Times New Roman" w:eastAsia="宋体" w:cs="Times New Roman"/>
              </w:rPr>
            </w:pPr>
            <w:r>
              <w:rPr>
                <w:rFonts w:hint="eastAsia" w:ascii="Times New Roman" w:hAnsi="Times New Roman" w:eastAsia="宋体" w:cs="Times New Roman"/>
              </w:rPr>
              <w:t>1</w:t>
            </w:r>
          </w:p>
        </w:tc>
        <w:tc>
          <w:tcPr>
            <w:tcW w:w="0" w:type="auto"/>
          </w:tcPr>
          <w:p>
            <w:pPr>
              <w:spacing w:line="360" w:lineRule="auto"/>
              <w:jc w:val="center"/>
              <w:rPr>
                <w:rFonts w:ascii="Times New Roman" w:hAnsi="Times New Roman" w:eastAsia="宋体" w:cs="Times New Roman"/>
              </w:rPr>
            </w:pPr>
            <w:r>
              <w:rPr>
                <w:rFonts w:hint="eastAsia" w:ascii="Times New Roman" w:hAnsi="Times New Roman" w:eastAsia="宋体" w:cs="Times New Roman"/>
              </w:rPr>
              <w:t>2023.12.24</w:t>
            </w:r>
          </w:p>
        </w:tc>
        <w:tc>
          <w:tcPr>
            <w:tcW w:w="0" w:type="auto"/>
          </w:tcPr>
          <w:p>
            <w:pPr>
              <w:spacing w:line="360" w:lineRule="auto"/>
              <w:jc w:val="center"/>
              <w:rPr>
                <w:rFonts w:ascii="Times New Roman" w:hAnsi="Times New Roman" w:eastAsia="宋体" w:cs="Times New Roman"/>
              </w:rPr>
            </w:pPr>
            <w:r>
              <w:rPr>
                <w:rFonts w:hint="eastAsia" w:ascii="Times New Roman" w:hAnsi="Times New Roman" w:eastAsia="宋体" w:cs="Times New Roman"/>
              </w:rPr>
              <w:t>总沉淀物（24小时老化）</w:t>
            </w:r>
          </w:p>
        </w:tc>
        <w:tc>
          <w:tcPr>
            <w:tcW w:w="976" w:type="dxa"/>
          </w:tcPr>
          <w:p>
            <w:pPr>
              <w:spacing w:line="360" w:lineRule="auto"/>
              <w:jc w:val="center"/>
              <w:rPr>
                <w:rFonts w:ascii="Times New Roman" w:hAnsi="Times New Roman" w:eastAsia="宋体" w:cs="Times New Roman"/>
              </w:rPr>
            </w:pPr>
            <w:r>
              <w:rPr>
                <w:rFonts w:hint="eastAsia" w:ascii="Times New Roman" w:hAnsi="Times New Roman" w:eastAsia="宋体" w:cs="Times New Roman"/>
              </w:rPr>
              <w:t>0.01</w:t>
            </w:r>
          </w:p>
        </w:tc>
        <w:tc>
          <w:tcPr>
            <w:tcW w:w="771" w:type="dxa"/>
          </w:tcPr>
          <w:p>
            <w:pPr>
              <w:spacing w:line="360" w:lineRule="auto"/>
              <w:jc w:val="center"/>
              <w:rPr>
                <w:rFonts w:ascii="Times New Roman" w:hAnsi="Times New Roman" w:eastAsia="宋体" w:cs="Times New Roman"/>
              </w:rPr>
            </w:pPr>
            <w:r>
              <w:rPr>
                <w:rFonts w:hint="eastAsia" w:ascii="Times New Roman" w:hAnsi="Times New Roman" w:eastAsia="宋体" w:cs="Times New Roman"/>
              </w:rPr>
              <w:t>%</w:t>
            </w:r>
          </w:p>
        </w:tc>
        <w:tc>
          <w:tcPr>
            <w:tcW w:w="2366" w:type="dxa"/>
          </w:tcPr>
          <w:p>
            <w:pPr>
              <w:spacing w:line="360" w:lineRule="auto"/>
              <w:jc w:val="center"/>
              <w:rPr>
                <w:rFonts w:ascii="Times New Roman" w:hAnsi="Times New Roman" w:eastAsia="宋体" w:cs="Times New Roman"/>
              </w:rPr>
            </w:pPr>
            <w:r>
              <w:rPr>
                <w:rFonts w:hint="eastAsia" w:ascii="Times New Roman" w:hAnsi="Times New Roman" w:eastAsia="宋体" w:cs="Times New Roman"/>
              </w:rPr>
              <w:t>SH/T 0702-2001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0" w:type="auto"/>
          </w:tcPr>
          <w:p>
            <w:pPr>
              <w:spacing w:line="360" w:lineRule="auto"/>
              <w:jc w:val="center"/>
              <w:rPr>
                <w:rFonts w:ascii="Times New Roman" w:hAnsi="Times New Roman" w:eastAsia="宋体" w:cs="Times New Roman"/>
              </w:rPr>
            </w:pPr>
            <w:r>
              <w:rPr>
                <w:rFonts w:hint="eastAsia" w:ascii="Times New Roman" w:hAnsi="Times New Roman" w:eastAsia="宋体" w:cs="Times New Roman"/>
              </w:rPr>
              <w:t>2</w:t>
            </w:r>
          </w:p>
        </w:tc>
        <w:tc>
          <w:tcPr>
            <w:tcW w:w="0" w:type="auto"/>
          </w:tcPr>
          <w:p>
            <w:pPr>
              <w:spacing w:line="360" w:lineRule="auto"/>
              <w:jc w:val="center"/>
              <w:rPr>
                <w:rFonts w:ascii="Times New Roman" w:hAnsi="Times New Roman" w:eastAsia="宋体" w:cs="Times New Roman"/>
              </w:rPr>
            </w:pPr>
            <w:r>
              <w:rPr>
                <w:rFonts w:hint="eastAsia" w:ascii="Times New Roman" w:hAnsi="Times New Roman" w:eastAsia="宋体" w:cs="Times New Roman"/>
              </w:rPr>
              <w:t>2024.01.23</w:t>
            </w:r>
          </w:p>
        </w:tc>
        <w:tc>
          <w:tcPr>
            <w:tcW w:w="0" w:type="auto"/>
          </w:tcPr>
          <w:p>
            <w:pPr>
              <w:spacing w:line="360" w:lineRule="auto"/>
              <w:jc w:val="center"/>
              <w:rPr>
                <w:rFonts w:ascii="Times New Roman" w:hAnsi="Times New Roman" w:eastAsia="宋体" w:cs="Times New Roman"/>
              </w:rPr>
            </w:pPr>
            <w:r>
              <w:rPr>
                <w:rFonts w:hint="eastAsia" w:ascii="Times New Roman" w:hAnsi="Times New Roman" w:eastAsia="宋体" w:cs="Times New Roman"/>
              </w:rPr>
              <w:t>总沉淀物（24小时老化）</w:t>
            </w:r>
          </w:p>
        </w:tc>
        <w:tc>
          <w:tcPr>
            <w:tcW w:w="976" w:type="dxa"/>
          </w:tcPr>
          <w:p>
            <w:pPr>
              <w:spacing w:line="360" w:lineRule="auto"/>
              <w:jc w:val="center"/>
              <w:rPr>
                <w:rFonts w:ascii="Times New Roman" w:hAnsi="Times New Roman" w:eastAsia="宋体" w:cs="Times New Roman"/>
              </w:rPr>
            </w:pPr>
            <w:r>
              <w:rPr>
                <w:rFonts w:hint="eastAsia" w:ascii="Times New Roman" w:hAnsi="Times New Roman" w:eastAsia="宋体" w:cs="Times New Roman"/>
              </w:rPr>
              <w:t>0.01</w:t>
            </w:r>
          </w:p>
        </w:tc>
        <w:tc>
          <w:tcPr>
            <w:tcW w:w="771" w:type="dxa"/>
          </w:tcPr>
          <w:p>
            <w:pPr>
              <w:spacing w:line="360" w:lineRule="auto"/>
              <w:jc w:val="center"/>
              <w:rPr>
                <w:rFonts w:ascii="Times New Roman" w:hAnsi="Times New Roman" w:eastAsia="宋体" w:cs="Times New Roman"/>
              </w:rPr>
            </w:pPr>
            <w:r>
              <w:rPr>
                <w:rFonts w:hint="eastAsia" w:ascii="Times New Roman" w:hAnsi="Times New Roman" w:eastAsia="宋体" w:cs="Times New Roman"/>
              </w:rPr>
              <w:t>%</w:t>
            </w:r>
          </w:p>
        </w:tc>
        <w:tc>
          <w:tcPr>
            <w:tcW w:w="2366" w:type="dxa"/>
          </w:tcPr>
          <w:p>
            <w:pPr>
              <w:spacing w:line="360" w:lineRule="auto"/>
              <w:jc w:val="center"/>
              <w:rPr>
                <w:rFonts w:ascii="Times New Roman" w:hAnsi="Times New Roman" w:eastAsia="宋体" w:cs="Times New Roman"/>
              </w:rPr>
            </w:pPr>
            <w:r>
              <w:rPr>
                <w:rFonts w:hint="eastAsia" w:ascii="Times New Roman" w:hAnsi="Times New Roman" w:eastAsia="宋体" w:cs="Times New Roman"/>
              </w:rPr>
              <w:t>SH/T 0702-2001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0" w:type="auto"/>
          </w:tcPr>
          <w:p>
            <w:pPr>
              <w:spacing w:line="360" w:lineRule="auto"/>
              <w:jc w:val="center"/>
              <w:rPr>
                <w:rFonts w:ascii="Times New Roman" w:hAnsi="Times New Roman" w:eastAsia="宋体" w:cs="Times New Roman"/>
              </w:rPr>
            </w:pPr>
            <w:r>
              <w:rPr>
                <w:rFonts w:hint="eastAsia" w:ascii="Times New Roman" w:hAnsi="Times New Roman" w:eastAsia="宋体" w:cs="Times New Roman"/>
              </w:rPr>
              <w:t>3</w:t>
            </w:r>
          </w:p>
        </w:tc>
        <w:tc>
          <w:tcPr>
            <w:tcW w:w="0" w:type="auto"/>
          </w:tcPr>
          <w:p>
            <w:pPr>
              <w:spacing w:line="360" w:lineRule="auto"/>
              <w:jc w:val="center"/>
              <w:rPr>
                <w:rFonts w:ascii="Times New Roman" w:hAnsi="Times New Roman" w:eastAsia="宋体" w:cs="Times New Roman"/>
              </w:rPr>
            </w:pPr>
            <w:r>
              <w:rPr>
                <w:rFonts w:hint="eastAsia" w:ascii="Times New Roman" w:hAnsi="Times New Roman" w:eastAsia="宋体" w:cs="Times New Roman"/>
              </w:rPr>
              <w:t>2024.02.23</w:t>
            </w:r>
          </w:p>
        </w:tc>
        <w:tc>
          <w:tcPr>
            <w:tcW w:w="0" w:type="auto"/>
          </w:tcPr>
          <w:p>
            <w:pPr>
              <w:spacing w:line="360" w:lineRule="auto"/>
              <w:jc w:val="center"/>
              <w:rPr>
                <w:rFonts w:ascii="Times New Roman" w:hAnsi="Times New Roman" w:eastAsia="宋体" w:cs="Times New Roman"/>
              </w:rPr>
            </w:pPr>
            <w:r>
              <w:rPr>
                <w:rFonts w:hint="eastAsia" w:ascii="Times New Roman" w:hAnsi="Times New Roman" w:eastAsia="宋体" w:cs="Times New Roman"/>
              </w:rPr>
              <w:t>总沉淀物（24小时老化）</w:t>
            </w:r>
          </w:p>
        </w:tc>
        <w:tc>
          <w:tcPr>
            <w:tcW w:w="976" w:type="dxa"/>
          </w:tcPr>
          <w:p>
            <w:pPr>
              <w:spacing w:line="360" w:lineRule="auto"/>
              <w:jc w:val="center"/>
              <w:rPr>
                <w:rFonts w:ascii="Times New Roman" w:hAnsi="Times New Roman" w:eastAsia="宋体" w:cs="Times New Roman"/>
              </w:rPr>
            </w:pPr>
            <w:r>
              <w:rPr>
                <w:rFonts w:hint="eastAsia" w:ascii="Times New Roman" w:hAnsi="Times New Roman" w:eastAsia="宋体" w:cs="Times New Roman"/>
              </w:rPr>
              <w:t>0.01</w:t>
            </w:r>
          </w:p>
        </w:tc>
        <w:tc>
          <w:tcPr>
            <w:tcW w:w="771" w:type="dxa"/>
          </w:tcPr>
          <w:p>
            <w:pPr>
              <w:spacing w:line="360" w:lineRule="auto"/>
              <w:jc w:val="center"/>
              <w:rPr>
                <w:rFonts w:ascii="Times New Roman" w:hAnsi="Times New Roman" w:eastAsia="宋体" w:cs="Times New Roman"/>
              </w:rPr>
            </w:pPr>
            <w:r>
              <w:rPr>
                <w:rFonts w:hint="eastAsia" w:ascii="Times New Roman" w:hAnsi="Times New Roman" w:eastAsia="宋体" w:cs="Times New Roman"/>
              </w:rPr>
              <w:t>%</w:t>
            </w:r>
          </w:p>
        </w:tc>
        <w:tc>
          <w:tcPr>
            <w:tcW w:w="2366" w:type="dxa"/>
          </w:tcPr>
          <w:p>
            <w:pPr>
              <w:spacing w:line="360" w:lineRule="auto"/>
              <w:jc w:val="center"/>
              <w:rPr>
                <w:rFonts w:ascii="Times New Roman" w:hAnsi="Times New Roman" w:eastAsia="宋体" w:cs="Times New Roman"/>
              </w:rPr>
            </w:pPr>
            <w:r>
              <w:rPr>
                <w:rFonts w:hint="eastAsia" w:ascii="Times New Roman" w:hAnsi="Times New Roman" w:eastAsia="宋体" w:cs="Times New Roman"/>
              </w:rPr>
              <w:t>SH/T 0702-2001</w:t>
            </w:r>
          </w:p>
        </w:tc>
      </w:tr>
    </w:tbl>
    <w:p>
      <w:pPr>
        <w:spacing w:line="360" w:lineRule="auto"/>
        <w:rPr>
          <w:rFonts w:eastAsia="宋体"/>
        </w:rPr>
      </w:pPr>
      <w:r>
        <w:rPr>
          <w:rFonts w:hint="eastAsia" w:eastAsia="宋体"/>
        </w:rPr>
        <w:t xml:space="preserve">   根据上表数据可知，调和样品的稳定性也是可以保障的。</w:t>
      </w:r>
    </w:p>
    <w:p>
      <w:pPr>
        <w:spacing w:line="360" w:lineRule="auto"/>
        <w:rPr>
          <w:rFonts w:eastAsia="宋体"/>
        </w:rPr>
      </w:pPr>
      <w:r>
        <w:rPr>
          <w:rFonts w:hint="eastAsia" w:eastAsia="宋体"/>
        </w:rPr>
        <w:t>（四）实验室分析数据</w:t>
      </w:r>
    </w:p>
    <w:p>
      <w:pPr>
        <w:spacing w:line="360" w:lineRule="auto"/>
        <w:ind w:firstLine="420"/>
        <w:rPr>
          <w:rFonts w:eastAsia="宋体"/>
        </w:rPr>
      </w:pPr>
      <w:r>
        <w:rPr>
          <w:rFonts w:hint="eastAsia" w:eastAsia="宋体"/>
        </w:rPr>
        <w:t>我中心实验室根据选择的原料，按质量比B15，B20，B24，B30，B50调配出实验样品20个，并对这些样品进行常规试验，得到数据如下（表3-表7）：</w:t>
      </w:r>
    </w:p>
    <w:p>
      <w:pPr>
        <w:ind w:firstLine="420"/>
        <w:rPr>
          <w:rFonts w:eastAsia="宋体"/>
        </w:rPr>
      </w:pPr>
    </w:p>
    <w:p>
      <w:pPr>
        <w:jc w:val="center"/>
        <w:rPr>
          <w:rFonts w:eastAsia="宋体"/>
        </w:rPr>
      </w:pPr>
      <w:r>
        <w:rPr>
          <w:rFonts w:hint="eastAsia" w:eastAsia="宋体"/>
        </w:rPr>
        <w:t>表3  B15生物燃料油结果汇总</w:t>
      </w:r>
    </w:p>
    <w:tbl>
      <w:tblPr>
        <w:tblStyle w:val="4"/>
        <w:tblW w:w="10244" w:type="dxa"/>
        <w:tblInd w:w="-407" w:type="dxa"/>
        <w:tblLayout w:type="fixed"/>
        <w:tblCellMar>
          <w:top w:w="0" w:type="dxa"/>
          <w:left w:w="108" w:type="dxa"/>
          <w:bottom w:w="0" w:type="dxa"/>
          <w:right w:w="108" w:type="dxa"/>
        </w:tblCellMar>
      </w:tblPr>
      <w:tblGrid>
        <w:gridCol w:w="711"/>
        <w:gridCol w:w="1422"/>
        <w:gridCol w:w="1304"/>
        <w:gridCol w:w="1170"/>
        <w:gridCol w:w="1082"/>
        <w:gridCol w:w="1263"/>
        <w:gridCol w:w="986"/>
        <w:gridCol w:w="2306"/>
      </w:tblGrid>
      <w:tr>
        <w:tblPrEx>
          <w:tblCellMar>
            <w:top w:w="0" w:type="dxa"/>
            <w:left w:w="108" w:type="dxa"/>
            <w:bottom w:w="0" w:type="dxa"/>
            <w:right w:w="108" w:type="dxa"/>
          </w:tblCellMar>
        </w:tblPrEx>
        <w:trPr>
          <w:trHeight w:val="444" w:hRule="atLeast"/>
        </w:trPr>
        <w:tc>
          <w:tcPr>
            <w:tcW w:w="10244" w:type="dxa"/>
            <w:gridSpan w:val="8"/>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生物燃料油结果汇总(B15)</w:t>
            </w:r>
          </w:p>
        </w:tc>
      </w:tr>
      <w:tr>
        <w:tblPrEx>
          <w:tblCellMar>
            <w:top w:w="0" w:type="dxa"/>
            <w:left w:w="108" w:type="dxa"/>
            <w:bottom w:w="0" w:type="dxa"/>
            <w:right w:w="108" w:type="dxa"/>
          </w:tblCellMar>
        </w:tblPrEx>
        <w:trPr>
          <w:trHeight w:val="444" w:hRule="atLeast"/>
        </w:trPr>
        <w:tc>
          <w:tcPr>
            <w:tcW w:w="711"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序号</w:t>
            </w:r>
          </w:p>
        </w:tc>
        <w:tc>
          <w:tcPr>
            <w:tcW w:w="1422"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检测项目</w:t>
            </w:r>
          </w:p>
        </w:tc>
        <w:tc>
          <w:tcPr>
            <w:tcW w:w="4819" w:type="dxa"/>
            <w:gridSpan w:val="4"/>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结果</w:t>
            </w:r>
          </w:p>
        </w:tc>
        <w:tc>
          <w:tcPr>
            <w:tcW w:w="986"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单位</w:t>
            </w:r>
          </w:p>
        </w:tc>
        <w:tc>
          <w:tcPr>
            <w:tcW w:w="2306"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检测方法</w:t>
            </w:r>
          </w:p>
        </w:tc>
      </w:tr>
      <w:tr>
        <w:tblPrEx>
          <w:tblCellMar>
            <w:top w:w="0" w:type="dxa"/>
            <w:left w:w="108" w:type="dxa"/>
            <w:bottom w:w="0" w:type="dxa"/>
            <w:right w:w="108" w:type="dxa"/>
          </w:tblCellMar>
        </w:tblPrEx>
        <w:trPr>
          <w:trHeight w:val="1546" w:hRule="atLeast"/>
        </w:trPr>
        <w:tc>
          <w:tcPr>
            <w:tcW w:w="71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b/>
                <w:bCs/>
                <w:color w:val="000000"/>
                <w:sz w:val="22"/>
                <w:szCs w:val="22"/>
              </w:rPr>
            </w:pPr>
          </w:p>
        </w:tc>
        <w:tc>
          <w:tcPr>
            <w:tcW w:w="1422"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b/>
                <w:bCs/>
                <w:color w:val="000000"/>
                <w:sz w:val="22"/>
                <w:szCs w:val="22"/>
              </w:rPr>
            </w:pPr>
          </w:p>
        </w:tc>
        <w:tc>
          <w:tcPr>
            <w:tcW w:w="13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中海油+BD100 KY 2-1</w:t>
            </w:r>
          </w:p>
        </w:tc>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中石油+BD100 KY 3-1</w:t>
            </w:r>
          </w:p>
        </w:tc>
        <w:tc>
          <w:tcPr>
            <w:tcW w:w="10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中石化+BD100  KY 4-1</w:t>
            </w:r>
          </w:p>
        </w:tc>
        <w:tc>
          <w:tcPr>
            <w:tcW w:w="12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民营+BD100  KY 5-1</w:t>
            </w:r>
          </w:p>
        </w:tc>
        <w:tc>
          <w:tcPr>
            <w:tcW w:w="98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b/>
                <w:bCs/>
                <w:color w:val="000000"/>
                <w:sz w:val="22"/>
                <w:szCs w:val="22"/>
              </w:rPr>
            </w:pPr>
          </w:p>
        </w:tc>
        <w:tc>
          <w:tcPr>
            <w:tcW w:w="230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b/>
                <w:bCs/>
                <w:color w:val="000000"/>
                <w:sz w:val="22"/>
                <w:szCs w:val="22"/>
              </w:rPr>
            </w:pPr>
          </w:p>
        </w:tc>
      </w:tr>
      <w:tr>
        <w:tblPrEx>
          <w:tblCellMar>
            <w:top w:w="0" w:type="dxa"/>
            <w:left w:w="108" w:type="dxa"/>
            <w:bottom w:w="0" w:type="dxa"/>
            <w:right w:w="108" w:type="dxa"/>
          </w:tblCellMar>
        </w:tblPrEx>
        <w:trPr>
          <w:trHeight w:val="444" w:hRule="atLeast"/>
        </w:trPr>
        <w:tc>
          <w:tcPr>
            <w:tcW w:w="7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4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运动粘度50</w:t>
            </w:r>
          </w:p>
        </w:tc>
        <w:tc>
          <w:tcPr>
            <w:tcW w:w="13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57.96</w:t>
            </w:r>
          </w:p>
        </w:tc>
        <w:tc>
          <w:tcPr>
            <w:tcW w:w="11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62.93</w:t>
            </w:r>
          </w:p>
        </w:tc>
        <w:tc>
          <w:tcPr>
            <w:tcW w:w="10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56.72</w:t>
            </w:r>
          </w:p>
        </w:tc>
        <w:tc>
          <w:tcPr>
            <w:tcW w:w="126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64.54</w:t>
            </w:r>
          </w:p>
        </w:tc>
        <w:tc>
          <w:tcPr>
            <w:tcW w:w="98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mm</w:t>
            </w:r>
            <w:r>
              <w:rPr>
                <w:rFonts w:hint="eastAsia" w:ascii="宋体" w:hAnsi="宋体" w:eastAsia="宋体" w:cs="宋体"/>
                <w:color w:val="000000"/>
                <w:kern w:val="0"/>
                <w:sz w:val="22"/>
                <w:szCs w:val="22"/>
                <w:vertAlign w:val="superscript"/>
                <w:lang w:bidi="ar"/>
              </w:rPr>
              <w:t>2</w:t>
            </w:r>
            <w:r>
              <w:rPr>
                <w:rFonts w:hint="eastAsia" w:ascii="宋体" w:hAnsi="宋体" w:eastAsia="宋体" w:cs="宋体"/>
                <w:color w:val="000000"/>
                <w:kern w:val="0"/>
                <w:sz w:val="22"/>
                <w:szCs w:val="22"/>
                <w:lang w:bidi="ar"/>
              </w:rPr>
              <w:t>/s</w:t>
            </w:r>
          </w:p>
        </w:tc>
        <w:tc>
          <w:tcPr>
            <w:tcW w:w="230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30515</w:t>
            </w:r>
          </w:p>
        </w:tc>
      </w:tr>
      <w:tr>
        <w:tblPrEx>
          <w:tblCellMar>
            <w:top w:w="0" w:type="dxa"/>
            <w:left w:w="108" w:type="dxa"/>
            <w:bottom w:w="0" w:type="dxa"/>
            <w:right w:w="108" w:type="dxa"/>
          </w:tblCellMar>
        </w:tblPrEx>
        <w:trPr>
          <w:trHeight w:val="444" w:hRule="atLeast"/>
        </w:trPr>
        <w:tc>
          <w:tcPr>
            <w:tcW w:w="7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w:t>
            </w:r>
          </w:p>
        </w:tc>
        <w:tc>
          <w:tcPr>
            <w:tcW w:w="14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密度15</w:t>
            </w:r>
          </w:p>
        </w:tc>
        <w:tc>
          <w:tcPr>
            <w:tcW w:w="13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941.3 </w:t>
            </w:r>
          </w:p>
        </w:tc>
        <w:tc>
          <w:tcPr>
            <w:tcW w:w="11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936.3 </w:t>
            </w:r>
          </w:p>
        </w:tc>
        <w:tc>
          <w:tcPr>
            <w:tcW w:w="10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932.4 </w:t>
            </w:r>
          </w:p>
        </w:tc>
        <w:tc>
          <w:tcPr>
            <w:tcW w:w="126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970.6 </w:t>
            </w:r>
          </w:p>
        </w:tc>
        <w:tc>
          <w:tcPr>
            <w:tcW w:w="98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kg/m</w:t>
            </w:r>
            <w:r>
              <w:rPr>
                <w:rFonts w:hint="eastAsia" w:ascii="宋体" w:hAnsi="宋体" w:eastAsia="宋体" w:cs="宋体"/>
                <w:color w:val="000000"/>
                <w:kern w:val="0"/>
                <w:sz w:val="22"/>
                <w:szCs w:val="22"/>
                <w:vertAlign w:val="superscript"/>
                <w:lang w:bidi="ar"/>
              </w:rPr>
              <w:t>3</w:t>
            </w:r>
          </w:p>
        </w:tc>
        <w:tc>
          <w:tcPr>
            <w:tcW w:w="230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SH/T 0604</w:t>
            </w:r>
          </w:p>
        </w:tc>
      </w:tr>
      <w:tr>
        <w:tblPrEx>
          <w:tblCellMar>
            <w:top w:w="0" w:type="dxa"/>
            <w:left w:w="108" w:type="dxa"/>
            <w:bottom w:w="0" w:type="dxa"/>
            <w:right w:w="108" w:type="dxa"/>
          </w:tblCellMar>
        </w:tblPrEx>
        <w:trPr>
          <w:trHeight w:val="444" w:hRule="atLeast"/>
        </w:trPr>
        <w:tc>
          <w:tcPr>
            <w:tcW w:w="7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w:t>
            </w:r>
          </w:p>
        </w:tc>
        <w:tc>
          <w:tcPr>
            <w:tcW w:w="14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密度20</w:t>
            </w:r>
          </w:p>
        </w:tc>
        <w:tc>
          <w:tcPr>
            <w:tcW w:w="13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937.9 </w:t>
            </w:r>
          </w:p>
        </w:tc>
        <w:tc>
          <w:tcPr>
            <w:tcW w:w="11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932.9 </w:t>
            </w:r>
          </w:p>
        </w:tc>
        <w:tc>
          <w:tcPr>
            <w:tcW w:w="10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929.0 </w:t>
            </w:r>
          </w:p>
        </w:tc>
        <w:tc>
          <w:tcPr>
            <w:tcW w:w="126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967.2 </w:t>
            </w:r>
          </w:p>
        </w:tc>
        <w:tc>
          <w:tcPr>
            <w:tcW w:w="98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kg/m</w:t>
            </w:r>
            <w:r>
              <w:rPr>
                <w:rFonts w:hint="eastAsia" w:ascii="宋体" w:hAnsi="宋体" w:eastAsia="宋体" w:cs="宋体"/>
                <w:color w:val="000000"/>
                <w:kern w:val="0"/>
                <w:sz w:val="22"/>
                <w:szCs w:val="22"/>
                <w:vertAlign w:val="superscript"/>
                <w:lang w:bidi="ar"/>
              </w:rPr>
              <w:t>3</w:t>
            </w:r>
          </w:p>
        </w:tc>
        <w:tc>
          <w:tcPr>
            <w:tcW w:w="230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SH/T 0604</w:t>
            </w:r>
          </w:p>
        </w:tc>
      </w:tr>
      <w:tr>
        <w:tblPrEx>
          <w:tblCellMar>
            <w:top w:w="0" w:type="dxa"/>
            <w:left w:w="108" w:type="dxa"/>
            <w:bottom w:w="0" w:type="dxa"/>
            <w:right w:w="108" w:type="dxa"/>
          </w:tblCellMar>
        </w:tblPrEx>
        <w:trPr>
          <w:trHeight w:val="624" w:hRule="atLeast"/>
        </w:trPr>
        <w:tc>
          <w:tcPr>
            <w:tcW w:w="7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w:t>
            </w:r>
          </w:p>
        </w:tc>
        <w:tc>
          <w:tcPr>
            <w:tcW w:w="14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碳芳香指数CCAI</w:t>
            </w:r>
          </w:p>
        </w:tc>
        <w:tc>
          <w:tcPr>
            <w:tcW w:w="13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825</w:t>
            </w:r>
          </w:p>
        </w:tc>
        <w:tc>
          <w:tcPr>
            <w:tcW w:w="11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819</w:t>
            </w:r>
          </w:p>
        </w:tc>
        <w:tc>
          <w:tcPr>
            <w:tcW w:w="10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817</w:t>
            </w:r>
          </w:p>
        </w:tc>
        <w:tc>
          <w:tcPr>
            <w:tcW w:w="126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853</w:t>
            </w:r>
          </w:p>
        </w:tc>
        <w:tc>
          <w:tcPr>
            <w:tcW w:w="98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230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 17411-2015附录F</w:t>
            </w:r>
          </w:p>
        </w:tc>
      </w:tr>
      <w:tr>
        <w:tblPrEx>
          <w:tblCellMar>
            <w:top w:w="0" w:type="dxa"/>
            <w:left w:w="108" w:type="dxa"/>
            <w:bottom w:w="0" w:type="dxa"/>
            <w:right w:w="108" w:type="dxa"/>
          </w:tblCellMar>
        </w:tblPrEx>
        <w:trPr>
          <w:trHeight w:val="444" w:hRule="atLeast"/>
        </w:trPr>
        <w:tc>
          <w:tcPr>
            <w:tcW w:w="7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w:t>
            </w:r>
          </w:p>
        </w:tc>
        <w:tc>
          <w:tcPr>
            <w:tcW w:w="14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硫含量</w:t>
            </w:r>
          </w:p>
        </w:tc>
        <w:tc>
          <w:tcPr>
            <w:tcW w:w="13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0.360 </w:t>
            </w:r>
          </w:p>
        </w:tc>
        <w:tc>
          <w:tcPr>
            <w:tcW w:w="11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0.394 </w:t>
            </w:r>
          </w:p>
        </w:tc>
        <w:tc>
          <w:tcPr>
            <w:tcW w:w="10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0.342 </w:t>
            </w:r>
          </w:p>
        </w:tc>
        <w:tc>
          <w:tcPr>
            <w:tcW w:w="126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0.370 </w:t>
            </w:r>
          </w:p>
        </w:tc>
        <w:tc>
          <w:tcPr>
            <w:tcW w:w="98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230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17040</w:t>
            </w:r>
          </w:p>
        </w:tc>
      </w:tr>
      <w:tr>
        <w:tblPrEx>
          <w:tblCellMar>
            <w:top w:w="0" w:type="dxa"/>
            <w:left w:w="108" w:type="dxa"/>
            <w:bottom w:w="0" w:type="dxa"/>
            <w:right w:w="108" w:type="dxa"/>
          </w:tblCellMar>
        </w:tblPrEx>
        <w:trPr>
          <w:trHeight w:val="444" w:hRule="atLeast"/>
        </w:trPr>
        <w:tc>
          <w:tcPr>
            <w:tcW w:w="7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w:t>
            </w:r>
          </w:p>
        </w:tc>
        <w:tc>
          <w:tcPr>
            <w:tcW w:w="14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闪点（闭口）</w:t>
            </w:r>
          </w:p>
        </w:tc>
        <w:tc>
          <w:tcPr>
            <w:tcW w:w="13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117.0 </w:t>
            </w:r>
          </w:p>
        </w:tc>
        <w:tc>
          <w:tcPr>
            <w:tcW w:w="11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101.0 </w:t>
            </w:r>
          </w:p>
        </w:tc>
        <w:tc>
          <w:tcPr>
            <w:tcW w:w="10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95.0 </w:t>
            </w:r>
          </w:p>
        </w:tc>
        <w:tc>
          <w:tcPr>
            <w:tcW w:w="126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102.0 </w:t>
            </w:r>
          </w:p>
        </w:tc>
        <w:tc>
          <w:tcPr>
            <w:tcW w:w="98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230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261</w:t>
            </w:r>
          </w:p>
        </w:tc>
      </w:tr>
      <w:tr>
        <w:tblPrEx>
          <w:tblCellMar>
            <w:top w:w="0" w:type="dxa"/>
            <w:left w:w="108" w:type="dxa"/>
            <w:bottom w:w="0" w:type="dxa"/>
            <w:right w:w="108" w:type="dxa"/>
          </w:tblCellMar>
        </w:tblPrEx>
        <w:trPr>
          <w:trHeight w:val="624" w:hRule="atLeast"/>
        </w:trPr>
        <w:tc>
          <w:tcPr>
            <w:tcW w:w="7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w:t>
            </w:r>
          </w:p>
        </w:tc>
        <w:tc>
          <w:tcPr>
            <w:tcW w:w="14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硫化氢</w:t>
            </w:r>
          </w:p>
        </w:tc>
        <w:tc>
          <w:tcPr>
            <w:tcW w:w="13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＜0.60</w:t>
            </w:r>
          </w:p>
        </w:tc>
        <w:tc>
          <w:tcPr>
            <w:tcW w:w="11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＜0.60</w:t>
            </w:r>
          </w:p>
        </w:tc>
        <w:tc>
          <w:tcPr>
            <w:tcW w:w="10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＜0.60</w:t>
            </w:r>
          </w:p>
        </w:tc>
        <w:tc>
          <w:tcPr>
            <w:tcW w:w="126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＜0.60</w:t>
            </w:r>
          </w:p>
        </w:tc>
        <w:tc>
          <w:tcPr>
            <w:tcW w:w="98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mg/kg</w:t>
            </w:r>
          </w:p>
        </w:tc>
        <w:tc>
          <w:tcPr>
            <w:tcW w:w="230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IP 570</w:t>
            </w:r>
          </w:p>
        </w:tc>
      </w:tr>
      <w:tr>
        <w:tblPrEx>
          <w:tblCellMar>
            <w:top w:w="0" w:type="dxa"/>
            <w:left w:w="108" w:type="dxa"/>
            <w:bottom w:w="0" w:type="dxa"/>
            <w:right w:w="108" w:type="dxa"/>
          </w:tblCellMar>
        </w:tblPrEx>
        <w:trPr>
          <w:trHeight w:val="624" w:hRule="atLeast"/>
        </w:trPr>
        <w:tc>
          <w:tcPr>
            <w:tcW w:w="7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w:t>
            </w:r>
          </w:p>
        </w:tc>
        <w:tc>
          <w:tcPr>
            <w:tcW w:w="14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酸值</w:t>
            </w:r>
          </w:p>
        </w:tc>
        <w:tc>
          <w:tcPr>
            <w:tcW w:w="13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0.95 </w:t>
            </w:r>
          </w:p>
        </w:tc>
        <w:tc>
          <w:tcPr>
            <w:tcW w:w="11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0.96 </w:t>
            </w:r>
          </w:p>
        </w:tc>
        <w:tc>
          <w:tcPr>
            <w:tcW w:w="10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0.17 </w:t>
            </w:r>
          </w:p>
        </w:tc>
        <w:tc>
          <w:tcPr>
            <w:tcW w:w="126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1.16 </w:t>
            </w:r>
          </w:p>
        </w:tc>
        <w:tc>
          <w:tcPr>
            <w:tcW w:w="98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mgKOH/g</w:t>
            </w:r>
          </w:p>
        </w:tc>
        <w:tc>
          <w:tcPr>
            <w:tcW w:w="230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7304</w:t>
            </w:r>
          </w:p>
        </w:tc>
      </w:tr>
      <w:tr>
        <w:tblPrEx>
          <w:tblCellMar>
            <w:top w:w="0" w:type="dxa"/>
            <w:left w:w="108" w:type="dxa"/>
            <w:bottom w:w="0" w:type="dxa"/>
            <w:right w:w="108" w:type="dxa"/>
          </w:tblCellMar>
        </w:tblPrEx>
        <w:trPr>
          <w:trHeight w:val="624" w:hRule="atLeast"/>
        </w:trPr>
        <w:tc>
          <w:tcPr>
            <w:tcW w:w="7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w:t>
            </w:r>
          </w:p>
        </w:tc>
        <w:tc>
          <w:tcPr>
            <w:tcW w:w="14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总沉淀物</w:t>
            </w:r>
          </w:p>
        </w:tc>
        <w:tc>
          <w:tcPr>
            <w:tcW w:w="13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＜0.01</w:t>
            </w:r>
          </w:p>
        </w:tc>
        <w:tc>
          <w:tcPr>
            <w:tcW w:w="11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＜0.01</w:t>
            </w:r>
          </w:p>
        </w:tc>
        <w:tc>
          <w:tcPr>
            <w:tcW w:w="10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＜0.01</w:t>
            </w:r>
          </w:p>
        </w:tc>
        <w:tc>
          <w:tcPr>
            <w:tcW w:w="126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＜0.01</w:t>
            </w:r>
          </w:p>
        </w:tc>
        <w:tc>
          <w:tcPr>
            <w:tcW w:w="98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230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SH/T 0702</w:t>
            </w:r>
          </w:p>
        </w:tc>
      </w:tr>
      <w:tr>
        <w:tblPrEx>
          <w:tblCellMar>
            <w:top w:w="0" w:type="dxa"/>
            <w:left w:w="108" w:type="dxa"/>
            <w:bottom w:w="0" w:type="dxa"/>
            <w:right w:w="108" w:type="dxa"/>
          </w:tblCellMar>
        </w:tblPrEx>
        <w:trPr>
          <w:trHeight w:val="444" w:hRule="atLeast"/>
        </w:trPr>
        <w:tc>
          <w:tcPr>
            <w:tcW w:w="7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w:t>
            </w:r>
          </w:p>
        </w:tc>
        <w:tc>
          <w:tcPr>
            <w:tcW w:w="14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残炭</w:t>
            </w:r>
          </w:p>
        </w:tc>
        <w:tc>
          <w:tcPr>
            <w:tcW w:w="13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6.19</w:t>
            </w:r>
          </w:p>
        </w:tc>
        <w:tc>
          <w:tcPr>
            <w:tcW w:w="11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6.81</w:t>
            </w:r>
          </w:p>
        </w:tc>
        <w:tc>
          <w:tcPr>
            <w:tcW w:w="10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7.1</w:t>
            </w:r>
          </w:p>
        </w:tc>
        <w:tc>
          <w:tcPr>
            <w:tcW w:w="126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7.67</w:t>
            </w:r>
          </w:p>
        </w:tc>
        <w:tc>
          <w:tcPr>
            <w:tcW w:w="98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230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17144</w:t>
            </w:r>
          </w:p>
        </w:tc>
      </w:tr>
      <w:tr>
        <w:tblPrEx>
          <w:tblCellMar>
            <w:top w:w="0" w:type="dxa"/>
            <w:left w:w="108" w:type="dxa"/>
            <w:bottom w:w="0" w:type="dxa"/>
            <w:right w:w="108" w:type="dxa"/>
          </w:tblCellMar>
        </w:tblPrEx>
        <w:trPr>
          <w:trHeight w:val="444" w:hRule="atLeast"/>
        </w:trPr>
        <w:tc>
          <w:tcPr>
            <w:tcW w:w="7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11</w:t>
            </w:r>
          </w:p>
        </w:tc>
        <w:tc>
          <w:tcPr>
            <w:tcW w:w="14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倾点</w:t>
            </w:r>
          </w:p>
        </w:tc>
        <w:tc>
          <w:tcPr>
            <w:tcW w:w="13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w:t>
            </w:r>
          </w:p>
        </w:tc>
        <w:tc>
          <w:tcPr>
            <w:tcW w:w="11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-12</w:t>
            </w:r>
          </w:p>
        </w:tc>
        <w:tc>
          <w:tcPr>
            <w:tcW w:w="10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w:t>
            </w:r>
          </w:p>
        </w:tc>
        <w:tc>
          <w:tcPr>
            <w:tcW w:w="126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12</w:t>
            </w:r>
          </w:p>
        </w:tc>
        <w:tc>
          <w:tcPr>
            <w:tcW w:w="98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230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3535</w:t>
            </w:r>
          </w:p>
        </w:tc>
      </w:tr>
      <w:tr>
        <w:tblPrEx>
          <w:tblCellMar>
            <w:top w:w="0" w:type="dxa"/>
            <w:left w:w="108" w:type="dxa"/>
            <w:bottom w:w="0" w:type="dxa"/>
            <w:right w:w="108" w:type="dxa"/>
          </w:tblCellMar>
        </w:tblPrEx>
        <w:trPr>
          <w:trHeight w:val="444" w:hRule="atLeast"/>
        </w:trPr>
        <w:tc>
          <w:tcPr>
            <w:tcW w:w="7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12</w:t>
            </w:r>
          </w:p>
        </w:tc>
        <w:tc>
          <w:tcPr>
            <w:tcW w:w="14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水分</w:t>
            </w:r>
          </w:p>
        </w:tc>
        <w:tc>
          <w:tcPr>
            <w:tcW w:w="13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0.31</w:t>
            </w:r>
          </w:p>
        </w:tc>
        <w:tc>
          <w:tcPr>
            <w:tcW w:w="11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0.11</w:t>
            </w:r>
          </w:p>
        </w:tc>
        <w:tc>
          <w:tcPr>
            <w:tcW w:w="10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0.13</w:t>
            </w:r>
          </w:p>
        </w:tc>
        <w:tc>
          <w:tcPr>
            <w:tcW w:w="126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0.11</w:t>
            </w:r>
          </w:p>
        </w:tc>
        <w:tc>
          <w:tcPr>
            <w:tcW w:w="98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230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11133</w:t>
            </w:r>
          </w:p>
        </w:tc>
      </w:tr>
      <w:tr>
        <w:tblPrEx>
          <w:tblCellMar>
            <w:top w:w="0" w:type="dxa"/>
            <w:left w:w="108" w:type="dxa"/>
            <w:bottom w:w="0" w:type="dxa"/>
            <w:right w:w="108" w:type="dxa"/>
          </w:tblCellMar>
        </w:tblPrEx>
        <w:trPr>
          <w:trHeight w:val="444" w:hRule="atLeast"/>
        </w:trPr>
        <w:tc>
          <w:tcPr>
            <w:tcW w:w="7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13</w:t>
            </w:r>
          </w:p>
        </w:tc>
        <w:tc>
          <w:tcPr>
            <w:tcW w:w="14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灰分</w:t>
            </w:r>
          </w:p>
        </w:tc>
        <w:tc>
          <w:tcPr>
            <w:tcW w:w="13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0.042</w:t>
            </w:r>
          </w:p>
        </w:tc>
        <w:tc>
          <w:tcPr>
            <w:tcW w:w="11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0.024</w:t>
            </w:r>
          </w:p>
        </w:tc>
        <w:tc>
          <w:tcPr>
            <w:tcW w:w="10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0.007</w:t>
            </w:r>
          </w:p>
        </w:tc>
        <w:tc>
          <w:tcPr>
            <w:tcW w:w="126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0.03</w:t>
            </w:r>
          </w:p>
        </w:tc>
        <w:tc>
          <w:tcPr>
            <w:tcW w:w="98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230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508</w:t>
            </w:r>
          </w:p>
        </w:tc>
      </w:tr>
      <w:tr>
        <w:tblPrEx>
          <w:tblCellMar>
            <w:top w:w="0" w:type="dxa"/>
            <w:left w:w="108" w:type="dxa"/>
            <w:bottom w:w="0" w:type="dxa"/>
            <w:right w:w="108" w:type="dxa"/>
          </w:tblCellMar>
        </w:tblPrEx>
        <w:trPr>
          <w:trHeight w:val="444" w:hRule="atLeast"/>
        </w:trPr>
        <w:tc>
          <w:tcPr>
            <w:tcW w:w="7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14</w:t>
            </w:r>
          </w:p>
        </w:tc>
        <w:tc>
          <w:tcPr>
            <w:tcW w:w="14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钒</w:t>
            </w:r>
          </w:p>
        </w:tc>
        <w:tc>
          <w:tcPr>
            <w:tcW w:w="13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w:t>
            </w:r>
          </w:p>
        </w:tc>
        <w:tc>
          <w:tcPr>
            <w:tcW w:w="11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w:t>
            </w:r>
          </w:p>
        </w:tc>
        <w:tc>
          <w:tcPr>
            <w:tcW w:w="10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w:t>
            </w:r>
          </w:p>
        </w:tc>
        <w:tc>
          <w:tcPr>
            <w:tcW w:w="126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w:t>
            </w:r>
          </w:p>
        </w:tc>
        <w:tc>
          <w:tcPr>
            <w:tcW w:w="986"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mg/kg</w:t>
            </w:r>
          </w:p>
        </w:tc>
        <w:tc>
          <w:tcPr>
            <w:tcW w:w="2306"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IP 501</w:t>
            </w:r>
          </w:p>
        </w:tc>
      </w:tr>
      <w:tr>
        <w:tblPrEx>
          <w:tblCellMar>
            <w:top w:w="0" w:type="dxa"/>
            <w:left w:w="108" w:type="dxa"/>
            <w:bottom w:w="0" w:type="dxa"/>
            <w:right w:w="108" w:type="dxa"/>
          </w:tblCellMar>
        </w:tblPrEx>
        <w:trPr>
          <w:trHeight w:val="444" w:hRule="atLeast"/>
        </w:trPr>
        <w:tc>
          <w:tcPr>
            <w:tcW w:w="7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15</w:t>
            </w:r>
          </w:p>
        </w:tc>
        <w:tc>
          <w:tcPr>
            <w:tcW w:w="14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钠</w:t>
            </w:r>
          </w:p>
        </w:tc>
        <w:tc>
          <w:tcPr>
            <w:tcW w:w="13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1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0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w:t>
            </w:r>
          </w:p>
        </w:tc>
        <w:tc>
          <w:tcPr>
            <w:tcW w:w="126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w:t>
            </w:r>
          </w:p>
        </w:tc>
        <w:tc>
          <w:tcPr>
            <w:tcW w:w="98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c>
          <w:tcPr>
            <w:tcW w:w="230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444" w:hRule="atLeast"/>
        </w:trPr>
        <w:tc>
          <w:tcPr>
            <w:tcW w:w="7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16</w:t>
            </w:r>
          </w:p>
        </w:tc>
        <w:tc>
          <w:tcPr>
            <w:tcW w:w="14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铝</w:t>
            </w:r>
          </w:p>
        </w:tc>
        <w:tc>
          <w:tcPr>
            <w:tcW w:w="13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1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w:t>
            </w:r>
          </w:p>
        </w:tc>
        <w:tc>
          <w:tcPr>
            <w:tcW w:w="10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11</w:t>
            </w:r>
          </w:p>
        </w:tc>
        <w:tc>
          <w:tcPr>
            <w:tcW w:w="126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w:t>
            </w:r>
          </w:p>
        </w:tc>
        <w:tc>
          <w:tcPr>
            <w:tcW w:w="98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c>
          <w:tcPr>
            <w:tcW w:w="230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444" w:hRule="atLeast"/>
        </w:trPr>
        <w:tc>
          <w:tcPr>
            <w:tcW w:w="7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17</w:t>
            </w:r>
          </w:p>
        </w:tc>
        <w:tc>
          <w:tcPr>
            <w:tcW w:w="14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硅</w:t>
            </w:r>
          </w:p>
        </w:tc>
        <w:tc>
          <w:tcPr>
            <w:tcW w:w="13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1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w:t>
            </w:r>
          </w:p>
        </w:tc>
        <w:tc>
          <w:tcPr>
            <w:tcW w:w="10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11</w:t>
            </w:r>
          </w:p>
        </w:tc>
        <w:tc>
          <w:tcPr>
            <w:tcW w:w="126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w:t>
            </w:r>
          </w:p>
        </w:tc>
        <w:tc>
          <w:tcPr>
            <w:tcW w:w="98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c>
          <w:tcPr>
            <w:tcW w:w="230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444" w:hRule="atLeast"/>
        </w:trPr>
        <w:tc>
          <w:tcPr>
            <w:tcW w:w="7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18</w:t>
            </w:r>
          </w:p>
        </w:tc>
        <w:tc>
          <w:tcPr>
            <w:tcW w:w="14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钙</w:t>
            </w:r>
          </w:p>
        </w:tc>
        <w:tc>
          <w:tcPr>
            <w:tcW w:w="13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81</w:t>
            </w:r>
          </w:p>
        </w:tc>
        <w:tc>
          <w:tcPr>
            <w:tcW w:w="11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32</w:t>
            </w:r>
          </w:p>
        </w:tc>
        <w:tc>
          <w:tcPr>
            <w:tcW w:w="10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w:t>
            </w:r>
          </w:p>
        </w:tc>
        <w:tc>
          <w:tcPr>
            <w:tcW w:w="126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60</w:t>
            </w:r>
          </w:p>
        </w:tc>
        <w:tc>
          <w:tcPr>
            <w:tcW w:w="98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c>
          <w:tcPr>
            <w:tcW w:w="230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444" w:hRule="atLeast"/>
        </w:trPr>
        <w:tc>
          <w:tcPr>
            <w:tcW w:w="7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19</w:t>
            </w:r>
          </w:p>
        </w:tc>
        <w:tc>
          <w:tcPr>
            <w:tcW w:w="14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锌</w:t>
            </w:r>
          </w:p>
        </w:tc>
        <w:tc>
          <w:tcPr>
            <w:tcW w:w="13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1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0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26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98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c>
          <w:tcPr>
            <w:tcW w:w="230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444" w:hRule="atLeast"/>
        </w:trPr>
        <w:tc>
          <w:tcPr>
            <w:tcW w:w="7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w:t>
            </w:r>
          </w:p>
        </w:tc>
        <w:tc>
          <w:tcPr>
            <w:tcW w:w="14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磷</w:t>
            </w:r>
          </w:p>
        </w:tc>
        <w:tc>
          <w:tcPr>
            <w:tcW w:w="13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w:t>
            </w:r>
          </w:p>
        </w:tc>
        <w:tc>
          <w:tcPr>
            <w:tcW w:w="11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w:t>
            </w:r>
          </w:p>
        </w:tc>
        <w:tc>
          <w:tcPr>
            <w:tcW w:w="10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26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98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c>
          <w:tcPr>
            <w:tcW w:w="230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444" w:hRule="atLeast"/>
        </w:trPr>
        <w:tc>
          <w:tcPr>
            <w:tcW w:w="7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21</w:t>
            </w:r>
          </w:p>
        </w:tc>
        <w:tc>
          <w:tcPr>
            <w:tcW w:w="14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净热值</w:t>
            </w:r>
          </w:p>
        </w:tc>
        <w:tc>
          <w:tcPr>
            <w:tcW w:w="130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40.58</w:t>
            </w:r>
          </w:p>
        </w:tc>
        <w:tc>
          <w:tcPr>
            <w:tcW w:w="11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40.76</w:t>
            </w:r>
          </w:p>
        </w:tc>
        <w:tc>
          <w:tcPr>
            <w:tcW w:w="10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40.83</w:t>
            </w:r>
          </w:p>
        </w:tc>
        <w:tc>
          <w:tcPr>
            <w:tcW w:w="126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40.01</w:t>
            </w:r>
          </w:p>
        </w:tc>
        <w:tc>
          <w:tcPr>
            <w:tcW w:w="98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MJ/kg</w:t>
            </w:r>
          </w:p>
        </w:tc>
        <w:tc>
          <w:tcPr>
            <w:tcW w:w="230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384</w:t>
            </w:r>
          </w:p>
        </w:tc>
      </w:tr>
      <w:tr>
        <w:tblPrEx>
          <w:tblCellMar>
            <w:top w:w="0" w:type="dxa"/>
            <w:left w:w="108" w:type="dxa"/>
            <w:bottom w:w="0" w:type="dxa"/>
            <w:right w:w="108" w:type="dxa"/>
          </w:tblCellMar>
        </w:tblPrEx>
        <w:trPr>
          <w:trHeight w:val="472" w:hRule="atLeast"/>
        </w:trPr>
        <w:tc>
          <w:tcPr>
            <w:tcW w:w="7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22</w:t>
            </w:r>
          </w:p>
        </w:tc>
        <w:tc>
          <w:tcPr>
            <w:tcW w:w="14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脂肪酸甲酯</w:t>
            </w:r>
          </w:p>
        </w:tc>
        <w:tc>
          <w:tcPr>
            <w:tcW w:w="1304"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r>
              <w:rPr>
                <w:rFonts w:hint="eastAsia" w:ascii="宋体" w:hAnsi="宋体" w:eastAsia="宋体" w:cs="宋体"/>
                <w:color w:val="000000"/>
                <w:sz w:val="22"/>
                <w:szCs w:val="22"/>
              </w:rPr>
              <w:t>14.37</w:t>
            </w:r>
          </w:p>
        </w:tc>
        <w:tc>
          <w:tcPr>
            <w:tcW w:w="117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r>
              <w:rPr>
                <w:rFonts w:hint="eastAsia" w:ascii="宋体" w:hAnsi="宋体" w:eastAsia="宋体" w:cs="宋体"/>
                <w:color w:val="000000"/>
                <w:sz w:val="22"/>
                <w:szCs w:val="22"/>
              </w:rPr>
              <w:t>14.59</w:t>
            </w:r>
          </w:p>
        </w:tc>
        <w:tc>
          <w:tcPr>
            <w:tcW w:w="1082"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r>
              <w:rPr>
                <w:rFonts w:hint="eastAsia" w:ascii="宋体" w:hAnsi="宋体" w:eastAsia="宋体" w:cs="宋体"/>
                <w:color w:val="000000"/>
                <w:sz w:val="22"/>
                <w:szCs w:val="22"/>
              </w:rPr>
              <w:t>14.67</w:t>
            </w:r>
          </w:p>
        </w:tc>
        <w:tc>
          <w:tcPr>
            <w:tcW w:w="1263"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r>
              <w:rPr>
                <w:rFonts w:hint="eastAsia" w:ascii="宋体" w:hAnsi="宋体" w:eastAsia="宋体" w:cs="宋体"/>
                <w:color w:val="000000"/>
                <w:sz w:val="22"/>
                <w:szCs w:val="22"/>
              </w:rPr>
              <w:t>14.82</w:t>
            </w:r>
          </w:p>
        </w:tc>
        <w:tc>
          <w:tcPr>
            <w:tcW w:w="98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230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质谱法</w:t>
            </w:r>
          </w:p>
        </w:tc>
      </w:tr>
    </w:tbl>
    <w:p>
      <w:pPr>
        <w:jc w:val="center"/>
        <w:rPr>
          <w:rFonts w:eastAsia="宋体"/>
        </w:rPr>
      </w:pPr>
    </w:p>
    <w:p>
      <w:pPr>
        <w:jc w:val="center"/>
        <w:rPr>
          <w:rFonts w:eastAsia="宋体"/>
        </w:rPr>
      </w:pPr>
    </w:p>
    <w:p>
      <w:pPr>
        <w:jc w:val="center"/>
        <w:rPr>
          <w:rFonts w:eastAsia="宋体"/>
        </w:rPr>
      </w:pPr>
      <w:r>
        <w:rPr>
          <w:rFonts w:hint="eastAsia" w:eastAsia="宋体"/>
        </w:rPr>
        <w:t>表4  B20生物燃料油结果汇总</w:t>
      </w:r>
    </w:p>
    <w:tbl>
      <w:tblPr>
        <w:tblStyle w:val="4"/>
        <w:tblW w:w="10281" w:type="dxa"/>
        <w:tblInd w:w="-433" w:type="dxa"/>
        <w:tblLayout w:type="fixed"/>
        <w:tblCellMar>
          <w:top w:w="0" w:type="dxa"/>
          <w:left w:w="108" w:type="dxa"/>
          <w:bottom w:w="0" w:type="dxa"/>
          <w:right w:w="108" w:type="dxa"/>
        </w:tblCellMar>
      </w:tblPr>
      <w:tblGrid>
        <w:gridCol w:w="741"/>
        <w:gridCol w:w="1437"/>
        <w:gridCol w:w="1274"/>
        <w:gridCol w:w="918"/>
        <w:gridCol w:w="1111"/>
        <w:gridCol w:w="1200"/>
        <w:gridCol w:w="1289"/>
        <w:gridCol w:w="2311"/>
      </w:tblGrid>
      <w:tr>
        <w:tblPrEx>
          <w:tblCellMar>
            <w:top w:w="0" w:type="dxa"/>
            <w:left w:w="108" w:type="dxa"/>
            <w:bottom w:w="0" w:type="dxa"/>
            <w:right w:w="108" w:type="dxa"/>
          </w:tblCellMar>
        </w:tblPrEx>
        <w:trPr>
          <w:trHeight w:val="459" w:hRule="atLeast"/>
        </w:trPr>
        <w:tc>
          <w:tcPr>
            <w:tcW w:w="10281" w:type="dxa"/>
            <w:gridSpan w:val="8"/>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生物燃料油结果汇总(B20)</w:t>
            </w:r>
          </w:p>
        </w:tc>
      </w:tr>
      <w:tr>
        <w:tblPrEx>
          <w:tblCellMar>
            <w:top w:w="0" w:type="dxa"/>
            <w:left w:w="108" w:type="dxa"/>
            <w:bottom w:w="0" w:type="dxa"/>
            <w:right w:w="108" w:type="dxa"/>
          </w:tblCellMar>
        </w:tblPrEx>
        <w:trPr>
          <w:trHeight w:val="459" w:hRule="atLeast"/>
        </w:trPr>
        <w:tc>
          <w:tcPr>
            <w:tcW w:w="741"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序号</w:t>
            </w:r>
          </w:p>
        </w:tc>
        <w:tc>
          <w:tcPr>
            <w:tcW w:w="1437"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检测项目</w:t>
            </w:r>
          </w:p>
        </w:tc>
        <w:tc>
          <w:tcPr>
            <w:tcW w:w="4503" w:type="dxa"/>
            <w:gridSpan w:val="4"/>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结果</w:t>
            </w:r>
          </w:p>
        </w:tc>
        <w:tc>
          <w:tcPr>
            <w:tcW w:w="1289"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单位</w:t>
            </w:r>
          </w:p>
        </w:tc>
        <w:tc>
          <w:tcPr>
            <w:tcW w:w="2311"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检测方法</w:t>
            </w:r>
          </w:p>
        </w:tc>
      </w:tr>
      <w:tr>
        <w:tblPrEx>
          <w:tblCellMar>
            <w:top w:w="0" w:type="dxa"/>
            <w:left w:w="108" w:type="dxa"/>
            <w:bottom w:w="0" w:type="dxa"/>
            <w:right w:w="108" w:type="dxa"/>
          </w:tblCellMar>
        </w:tblPrEx>
        <w:trPr>
          <w:trHeight w:val="1600" w:hRule="atLeast"/>
        </w:trPr>
        <w:tc>
          <w:tcPr>
            <w:tcW w:w="74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b/>
                <w:bCs/>
                <w:color w:val="000000"/>
                <w:sz w:val="22"/>
                <w:szCs w:val="22"/>
              </w:rPr>
            </w:pPr>
          </w:p>
        </w:tc>
        <w:tc>
          <w:tcPr>
            <w:tcW w:w="1437"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b/>
                <w:bCs/>
                <w:color w:val="000000"/>
                <w:sz w:val="22"/>
                <w:szCs w:val="22"/>
              </w:rPr>
            </w:pPr>
          </w:p>
        </w:tc>
        <w:tc>
          <w:tcPr>
            <w:tcW w:w="127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中海油+BD100  KY 2-2</w:t>
            </w:r>
          </w:p>
        </w:tc>
        <w:tc>
          <w:tcPr>
            <w:tcW w:w="91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中石油+BD100  KY 3-2</w:t>
            </w:r>
          </w:p>
        </w:tc>
        <w:tc>
          <w:tcPr>
            <w:tcW w:w="111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中石化+BD100  KY 4-2</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民营+BD100  KY 5-2</w:t>
            </w:r>
          </w:p>
        </w:tc>
        <w:tc>
          <w:tcPr>
            <w:tcW w:w="128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b/>
                <w:bCs/>
                <w:color w:val="000000"/>
                <w:sz w:val="22"/>
                <w:szCs w:val="22"/>
              </w:rPr>
            </w:pPr>
          </w:p>
        </w:tc>
        <w:tc>
          <w:tcPr>
            <w:tcW w:w="231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b/>
                <w:bCs/>
                <w:color w:val="000000"/>
                <w:sz w:val="22"/>
                <w:szCs w:val="22"/>
              </w:rPr>
            </w:pPr>
          </w:p>
        </w:tc>
      </w:tr>
      <w:tr>
        <w:tblPrEx>
          <w:tblCellMar>
            <w:top w:w="0" w:type="dxa"/>
            <w:left w:w="108" w:type="dxa"/>
            <w:bottom w:w="0" w:type="dxa"/>
            <w:right w:w="108" w:type="dxa"/>
          </w:tblCellMar>
        </w:tblPrEx>
        <w:trPr>
          <w:trHeight w:val="459" w:hRule="atLeast"/>
        </w:trPr>
        <w:tc>
          <w:tcPr>
            <w:tcW w:w="7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4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运动粘度50</w:t>
            </w:r>
          </w:p>
        </w:tc>
        <w:tc>
          <w:tcPr>
            <w:tcW w:w="127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44.55</w:t>
            </w:r>
          </w:p>
        </w:tc>
        <w:tc>
          <w:tcPr>
            <w:tcW w:w="91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47.82</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44.08</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49.16</w:t>
            </w:r>
          </w:p>
        </w:tc>
        <w:tc>
          <w:tcPr>
            <w:tcW w:w="128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mm</w:t>
            </w:r>
            <w:r>
              <w:rPr>
                <w:rFonts w:hint="eastAsia" w:ascii="宋体" w:hAnsi="宋体" w:eastAsia="宋体" w:cs="宋体"/>
                <w:color w:val="000000"/>
                <w:kern w:val="0"/>
                <w:sz w:val="22"/>
                <w:szCs w:val="22"/>
                <w:vertAlign w:val="superscript"/>
                <w:lang w:bidi="ar"/>
              </w:rPr>
              <w:t>2</w:t>
            </w:r>
            <w:r>
              <w:rPr>
                <w:rFonts w:hint="eastAsia" w:ascii="宋体" w:hAnsi="宋体" w:eastAsia="宋体" w:cs="宋体"/>
                <w:color w:val="000000"/>
                <w:kern w:val="0"/>
                <w:sz w:val="22"/>
                <w:szCs w:val="22"/>
                <w:lang w:bidi="ar"/>
              </w:rPr>
              <w:t>/s</w:t>
            </w:r>
          </w:p>
        </w:tc>
        <w:tc>
          <w:tcPr>
            <w:tcW w:w="23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30515</w:t>
            </w:r>
          </w:p>
        </w:tc>
      </w:tr>
      <w:tr>
        <w:tblPrEx>
          <w:tblCellMar>
            <w:top w:w="0" w:type="dxa"/>
            <w:left w:w="108" w:type="dxa"/>
            <w:bottom w:w="0" w:type="dxa"/>
            <w:right w:w="108" w:type="dxa"/>
          </w:tblCellMar>
        </w:tblPrEx>
        <w:trPr>
          <w:trHeight w:val="459" w:hRule="atLeast"/>
        </w:trPr>
        <w:tc>
          <w:tcPr>
            <w:tcW w:w="7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w:t>
            </w:r>
          </w:p>
        </w:tc>
        <w:tc>
          <w:tcPr>
            <w:tcW w:w="14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密度15</w:t>
            </w:r>
          </w:p>
        </w:tc>
        <w:tc>
          <w:tcPr>
            <w:tcW w:w="127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937.2 </w:t>
            </w:r>
          </w:p>
        </w:tc>
        <w:tc>
          <w:tcPr>
            <w:tcW w:w="91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932.6 </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929.2 </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964.7 </w:t>
            </w:r>
          </w:p>
        </w:tc>
        <w:tc>
          <w:tcPr>
            <w:tcW w:w="128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kg/m</w:t>
            </w:r>
            <w:r>
              <w:rPr>
                <w:rFonts w:hint="eastAsia" w:ascii="宋体" w:hAnsi="宋体" w:eastAsia="宋体" w:cs="宋体"/>
                <w:color w:val="000000"/>
                <w:kern w:val="0"/>
                <w:sz w:val="22"/>
                <w:szCs w:val="22"/>
                <w:vertAlign w:val="superscript"/>
                <w:lang w:bidi="ar"/>
              </w:rPr>
              <w:t>3</w:t>
            </w:r>
          </w:p>
        </w:tc>
        <w:tc>
          <w:tcPr>
            <w:tcW w:w="23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SH/T 0604</w:t>
            </w:r>
          </w:p>
        </w:tc>
      </w:tr>
      <w:tr>
        <w:tblPrEx>
          <w:tblCellMar>
            <w:top w:w="0" w:type="dxa"/>
            <w:left w:w="108" w:type="dxa"/>
            <w:bottom w:w="0" w:type="dxa"/>
            <w:right w:w="108" w:type="dxa"/>
          </w:tblCellMar>
        </w:tblPrEx>
        <w:trPr>
          <w:trHeight w:val="459" w:hRule="atLeast"/>
        </w:trPr>
        <w:tc>
          <w:tcPr>
            <w:tcW w:w="7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w:t>
            </w:r>
          </w:p>
        </w:tc>
        <w:tc>
          <w:tcPr>
            <w:tcW w:w="14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密度20</w:t>
            </w:r>
          </w:p>
        </w:tc>
        <w:tc>
          <w:tcPr>
            <w:tcW w:w="127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933.8 </w:t>
            </w:r>
          </w:p>
        </w:tc>
        <w:tc>
          <w:tcPr>
            <w:tcW w:w="91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929.2 </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925.8 </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961.3 </w:t>
            </w:r>
          </w:p>
        </w:tc>
        <w:tc>
          <w:tcPr>
            <w:tcW w:w="128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kg/m</w:t>
            </w:r>
            <w:r>
              <w:rPr>
                <w:rFonts w:hint="eastAsia" w:ascii="宋体" w:hAnsi="宋体" w:eastAsia="宋体" w:cs="宋体"/>
                <w:color w:val="000000"/>
                <w:kern w:val="0"/>
                <w:sz w:val="22"/>
                <w:szCs w:val="22"/>
                <w:vertAlign w:val="superscript"/>
                <w:lang w:bidi="ar"/>
              </w:rPr>
              <w:t>3</w:t>
            </w:r>
          </w:p>
        </w:tc>
        <w:tc>
          <w:tcPr>
            <w:tcW w:w="23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SH/T 0604</w:t>
            </w:r>
          </w:p>
        </w:tc>
      </w:tr>
      <w:tr>
        <w:tblPrEx>
          <w:tblCellMar>
            <w:top w:w="0" w:type="dxa"/>
            <w:left w:w="108" w:type="dxa"/>
            <w:bottom w:w="0" w:type="dxa"/>
            <w:right w:w="108" w:type="dxa"/>
          </w:tblCellMar>
        </w:tblPrEx>
        <w:trPr>
          <w:trHeight w:val="646" w:hRule="atLeast"/>
        </w:trPr>
        <w:tc>
          <w:tcPr>
            <w:tcW w:w="7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w:t>
            </w:r>
          </w:p>
        </w:tc>
        <w:tc>
          <w:tcPr>
            <w:tcW w:w="14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碳芳香指数CCAI</w:t>
            </w:r>
          </w:p>
        </w:tc>
        <w:tc>
          <w:tcPr>
            <w:tcW w:w="127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825</w:t>
            </w:r>
          </w:p>
        </w:tc>
        <w:tc>
          <w:tcPr>
            <w:tcW w:w="91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820</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817</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851</w:t>
            </w:r>
          </w:p>
        </w:tc>
        <w:tc>
          <w:tcPr>
            <w:tcW w:w="128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23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 17411-2015附录F</w:t>
            </w:r>
          </w:p>
        </w:tc>
      </w:tr>
      <w:tr>
        <w:tblPrEx>
          <w:tblCellMar>
            <w:top w:w="0" w:type="dxa"/>
            <w:left w:w="108" w:type="dxa"/>
            <w:bottom w:w="0" w:type="dxa"/>
            <w:right w:w="108" w:type="dxa"/>
          </w:tblCellMar>
        </w:tblPrEx>
        <w:trPr>
          <w:trHeight w:val="459" w:hRule="atLeast"/>
        </w:trPr>
        <w:tc>
          <w:tcPr>
            <w:tcW w:w="7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w:t>
            </w:r>
          </w:p>
        </w:tc>
        <w:tc>
          <w:tcPr>
            <w:tcW w:w="14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硫含量</w:t>
            </w:r>
          </w:p>
        </w:tc>
        <w:tc>
          <w:tcPr>
            <w:tcW w:w="127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0.336 </w:t>
            </w:r>
          </w:p>
        </w:tc>
        <w:tc>
          <w:tcPr>
            <w:tcW w:w="91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0.368 </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0.319 </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0.349 </w:t>
            </w:r>
          </w:p>
        </w:tc>
        <w:tc>
          <w:tcPr>
            <w:tcW w:w="128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23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17040</w:t>
            </w:r>
          </w:p>
        </w:tc>
      </w:tr>
      <w:tr>
        <w:tblPrEx>
          <w:tblCellMar>
            <w:top w:w="0" w:type="dxa"/>
            <w:left w:w="108" w:type="dxa"/>
            <w:bottom w:w="0" w:type="dxa"/>
            <w:right w:w="108" w:type="dxa"/>
          </w:tblCellMar>
        </w:tblPrEx>
        <w:trPr>
          <w:trHeight w:val="459" w:hRule="atLeast"/>
        </w:trPr>
        <w:tc>
          <w:tcPr>
            <w:tcW w:w="7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w:t>
            </w:r>
          </w:p>
        </w:tc>
        <w:tc>
          <w:tcPr>
            <w:tcW w:w="14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闪点（闭口）</w:t>
            </w:r>
          </w:p>
        </w:tc>
        <w:tc>
          <w:tcPr>
            <w:tcW w:w="127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117.0 </w:t>
            </w:r>
          </w:p>
        </w:tc>
        <w:tc>
          <w:tcPr>
            <w:tcW w:w="91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101.0 </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97.0 </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103.0 </w:t>
            </w:r>
          </w:p>
        </w:tc>
        <w:tc>
          <w:tcPr>
            <w:tcW w:w="128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23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261</w:t>
            </w:r>
          </w:p>
        </w:tc>
      </w:tr>
      <w:tr>
        <w:tblPrEx>
          <w:tblCellMar>
            <w:top w:w="0" w:type="dxa"/>
            <w:left w:w="108" w:type="dxa"/>
            <w:bottom w:w="0" w:type="dxa"/>
            <w:right w:w="108" w:type="dxa"/>
          </w:tblCellMar>
        </w:tblPrEx>
        <w:trPr>
          <w:trHeight w:val="646" w:hRule="atLeast"/>
        </w:trPr>
        <w:tc>
          <w:tcPr>
            <w:tcW w:w="7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w:t>
            </w:r>
          </w:p>
        </w:tc>
        <w:tc>
          <w:tcPr>
            <w:tcW w:w="14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硫化氢</w:t>
            </w:r>
          </w:p>
        </w:tc>
        <w:tc>
          <w:tcPr>
            <w:tcW w:w="127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＜0.60</w:t>
            </w:r>
          </w:p>
        </w:tc>
        <w:tc>
          <w:tcPr>
            <w:tcW w:w="91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＜0.60</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＜0.60</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＜0.60</w:t>
            </w:r>
          </w:p>
        </w:tc>
        <w:tc>
          <w:tcPr>
            <w:tcW w:w="128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mg/kg</w:t>
            </w:r>
          </w:p>
        </w:tc>
        <w:tc>
          <w:tcPr>
            <w:tcW w:w="23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IP 570</w:t>
            </w:r>
          </w:p>
        </w:tc>
      </w:tr>
      <w:tr>
        <w:tblPrEx>
          <w:tblCellMar>
            <w:top w:w="0" w:type="dxa"/>
            <w:left w:w="108" w:type="dxa"/>
            <w:bottom w:w="0" w:type="dxa"/>
            <w:right w:w="108" w:type="dxa"/>
          </w:tblCellMar>
        </w:tblPrEx>
        <w:trPr>
          <w:trHeight w:val="646" w:hRule="atLeast"/>
        </w:trPr>
        <w:tc>
          <w:tcPr>
            <w:tcW w:w="7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w:t>
            </w:r>
          </w:p>
        </w:tc>
        <w:tc>
          <w:tcPr>
            <w:tcW w:w="14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酸值</w:t>
            </w:r>
          </w:p>
        </w:tc>
        <w:tc>
          <w:tcPr>
            <w:tcW w:w="127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0.92 </w:t>
            </w:r>
          </w:p>
        </w:tc>
        <w:tc>
          <w:tcPr>
            <w:tcW w:w="91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0.91 </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0.22 </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1.14 </w:t>
            </w:r>
          </w:p>
        </w:tc>
        <w:tc>
          <w:tcPr>
            <w:tcW w:w="128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mgKOH/g</w:t>
            </w:r>
          </w:p>
        </w:tc>
        <w:tc>
          <w:tcPr>
            <w:tcW w:w="23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7304</w:t>
            </w:r>
          </w:p>
        </w:tc>
      </w:tr>
      <w:tr>
        <w:tblPrEx>
          <w:tblCellMar>
            <w:top w:w="0" w:type="dxa"/>
            <w:left w:w="108" w:type="dxa"/>
            <w:bottom w:w="0" w:type="dxa"/>
            <w:right w:w="108" w:type="dxa"/>
          </w:tblCellMar>
        </w:tblPrEx>
        <w:trPr>
          <w:trHeight w:val="646" w:hRule="atLeast"/>
        </w:trPr>
        <w:tc>
          <w:tcPr>
            <w:tcW w:w="7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w:t>
            </w:r>
          </w:p>
        </w:tc>
        <w:tc>
          <w:tcPr>
            <w:tcW w:w="14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总沉淀物</w:t>
            </w:r>
          </w:p>
        </w:tc>
        <w:tc>
          <w:tcPr>
            <w:tcW w:w="127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＜0.01</w:t>
            </w:r>
          </w:p>
        </w:tc>
        <w:tc>
          <w:tcPr>
            <w:tcW w:w="91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＜0.01</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＜0.01</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＜0.01</w:t>
            </w:r>
          </w:p>
        </w:tc>
        <w:tc>
          <w:tcPr>
            <w:tcW w:w="128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23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SH/T 0702</w:t>
            </w:r>
          </w:p>
        </w:tc>
      </w:tr>
      <w:tr>
        <w:tblPrEx>
          <w:tblCellMar>
            <w:top w:w="0" w:type="dxa"/>
            <w:left w:w="108" w:type="dxa"/>
            <w:bottom w:w="0" w:type="dxa"/>
            <w:right w:w="108" w:type="dxa"/>
          </w:tblCellMar>
        </w:tblPrEx>
        <w:trPr>
          <w:trHeight w:val="459" w:hRule="atLeast"/>
        </w:trPr>
        <w:tc>
          <w:tcPr>
            <w:tcW w:w="7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w:t>
            </w:r>
          </w:p>
        </w:tc>
        <w:tc>
          <w:tcPr>
            <w:tcW w:w="14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残炭</w:t>
            </w:r>
          </w:p>
        </w:tc>
        <w:tc>
          <w:tcPr>
            <w:tcW w:w="127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5.63</w:t>
            </w:r>
          </w:p>
        </w:tc>
        <w:tc>
          <w:tcPr>
            <w:tcW w:w="91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6.4</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6.49</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7.24</w:t>
            </w:r>
          </w:p>
        </w:tc>
        <w:tc>
          <w:tcPr>
            <w:tcW w:w="128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23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17144</w:t>
            </w:r>
          </w:p>
        </w:tc>
      </w:tr>
      <w:tr>
        <w:tblPrEx>
          <w:tblCellMar>
            <w:top w:w="0" w:type="dxa"/>
            <w:left w:w="108" w:type="dxa"/>
            <w:bottom w:w="0" w:type="dxa"/>
            <w:right w:w="108" w:type="dxa"/>
          </w:tblCellMar>
        </w:tblPrEx>
        <w:trPr>
          <w:trHeight w:val="459" w:hRule="atLeast"/>
        </w:trPr>
        <w:tc>
          <w:tcPr>
            <w:tcW w:w="7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11</w:t>
            </w:r>
          </w:p>
        </w:tc>
        <w:tc>
          <w:tcPr>
            <w:tcW w:w="14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倾点</w:t>
            </w:r>
          </w:p>
        </w:tc>
        <w:tc>
          <w:tcPr>
            <w:tcW w:w="127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w:t>
            </w:r>
          </w:p>
        </w:tc>
        <w:tc>
          <w:tcPr>
            <w:tcW w:w="91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3/0</w:t>
            </w:r>
          </w:p>
        </w:tc>
        <w:tc>
          <w:tcPr>
            <w:tcW w:w="128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23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3535</w:t>
            </w:r>
          </w:p>
        </w:tc>
      </w:tr>
      <w:tr>
        <w:tblPrEx>
          <w:tblCellMar>
            <w:top w:w="0" w:type="dxa"/>
            <w:left w:w="108" w:type="dxa"/>
            <w:bottom w:w="0" w:type="dxa"/>
            <w:right w:w="108" w:type="dxa"/>
          </w:tblCellMar>
        </w:tblPrEx>
        <w:trPr>
          <w:trHeight w:val="459" w:hRule="atLeast"/>
        </w:trPr>
        <w:tc>
          <w:tcPr>
            <w:tcW w:w="7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12</w:t>
            </w:r>
          </w:p>
        </w:tc>
        <w:tc>
          <w:tcPr>
            <w:tcW w:w="14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水分</w:t>
            </w:r>
          </w:p>
        </w:tc>
        <w:tc>
          <w:tcPr>
            <w:tcW w:w="127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0.3</w:t>
            </w:r>
          </w:p>
        </w:tc>
        <w:tc>
          <w:tcPr>
            <w:tcW w:w="91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0.13</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0.13</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0.11</w:t>
            </w:r>
          </w:p>
        </w:tc>
        <w:tc>
          <w:tcPr>
            <w:tcW w:w="128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23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11133</w:t>
            </w:r>
          </w:p>
        </w:tc>
      </w:tr>
      <w:tr>
        <w:tblPrEx>
          <w:tblCellMar>
            <w:top w:w="0" w:type="dxa"/>
            <w:left w:w="108" w:type="dxa"/>
            <w:bottom w:w="0" w:type="dxa"/>
            <w:right w:w="108" w:type="dxa"/>
          </w:tblCellMar>
        </w:tblPrEx>
        <w:trPr>
          <w:trHeight w:val="459" w:hRule="atLeast"/>
        </w:trPr>
        <w:tc>
          <w:tcPr>
            <w:tcW w:w="7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13</w:t>
            </w:r>
          </w:p>
        </w:tc>
        <w:tc>
          <w:tcPr>
            <w:tcW w:w="14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灰分</w:t>
            </w:r>
          </w:p>
        </w:tc>
        <w:tc>
          <w:tcPr>
            <w:tcW w:w="127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0.038</w:t>
            </w:r>
          </w:p>
        </w:tc>
        <w:tc>
          <w:tcPr>
            <w:tcW w:w="91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0.022</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0.007</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0.028</w:t>
            </w:r>
          </w:p>
        </w:tc>
        <w:tc>
          <w:tcPr>
            <w:tcW w:w="128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23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508</w:t>
            </w:r>
          </w:p>
        </w:tc>
      </w:tr>
      <w:tr>
        <w:tblPrEx>
          <w:tblCellMar>
            <w:top w:w="0" w:type="dxa"/>
            <w:left w:w="108" w:type="dxa"/>
            <w:bottom w:w="0" w:type="dxa"/>
            <w:right w:w="108" w:type="dxa"/>
          </w:tblCellMar>
        </w:tblPrEx>
        <w:trPr>
          <w:trHeight w:val="459" w:hRule="atLeast"/>
        </w:trPr>
        <w:tc>
          <w:tcPr>
            <w:tcW w:w="7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14</w:t>
            </w:r>
          </w:p>
        </w:tc>
        <w:tc>
          <w:tcPr>
            <w:tcW w:w="14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钒</w:t>
            </w:r>
          </w:p>
        </w:tc>
        <w:tc>
          <w:tcPr>
            <w:tcW w:w="127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w:t>
            </w:r>
          </w:p>
        </w:tc>
        <w:tc>
          <w:tcPr>
            <w:tcW w:w="91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w:t>
            </w:r>
          </w:p>
        </w:tc>
        <w:tc>
          <w:tcPr>
            <w:tcW w:w="1289"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mg/kg</w:t>
            </w:r>
          </w:p>
        </w:tc>
        <w:tc>
          <w:tcPr>
            <w:tcW w:w="2311"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IP 501</w:t>
            </w:r>
          </w:p>
        </w:tc>
      </w:tr>
      <w:tr>
        <w:tblPrEx>
          <w:tblCellMar>
            <w:top w:w="0" w:type="dxa"/>
            <w:left w:w="108" w:type="dxa"/>
            <w:bottom w:w="0" w:type="dxa"/>
            <w:right w:w="108" w:type="dxa"/>
          </w:tblCellMar>
        </w:tblPrEx>
        <w:trPr>
          <w:trHeight w:val="459" w:hRule="atLeast"/>
        </w:trPr>
        <w:tc>
          <w:tcPr>
            <w:tcW w:w="7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15</w:t>
            </w:r>
          </w:p>
        </w:tc>
        <w:tc>
          <w:tcPr>
            <w:tcW w:w="14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钠</w:t>
            </w:r>
          </w:p>
        </w:tc>
        <w:tc>
          <w:tcPr>
            <w:tcW w:w="127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91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w:t>
            </w:r>
          </w:p>
        </w:tc>
        <w:tc>
          <w:tcPr>
            <w:tcW w:w="128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c>
          <w:tcPr>
            <w:tcW w:w="231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459" w:hRule="atLeast"/>
        </w:trPr>
        <w:tc>
          <w:tcPr>
            <w:tcW w:w="7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16</w:t>
            </w:r>
          </w:p>
        </w:tc>
        <w:tc>
          <w:tcPr>
            <w:tcW w:w="14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铝</w:t>
            </w:r>
          </w:p>
        </w:tc>
        <w:tc>
          <w:tcPr>
            <w:tcW w:w="127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91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w:t>
            </w:r>
          </w:p>
        </w:tc>
        <w:tc>
          <w:tcPr>
            <w:tcW w:w="128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c>
          <w:tcPr>
            <w:tcW w:w="231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459" w:hRule="atLeast"/>
        </w:trPr>
        <w:tc>
          <w:tcPr>
            <w:tcW w:w="7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17</w:t>
            </w:r>
          </w:p>
        </w:tc>
        <w:tc>
          <w:tcPr>
            <w:tcW w:w="14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硅</w:t>
            </w:r>
          </w:p>
        </w:tc>
        <w:tc>
          <w:tcPr>
            <w:tcW w:w="127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91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w:t>
            </w:r>
          </w:p>
        </w:tc>
        <w:tc>
          <w:tcPr>
            <w:tcW w:w="128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c>
          <w:tcPr>
            <w:tcW w:w="231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459" w:hRule="atLeast"/>
        </w:trPr>
        <w:tc>
          <w:tcPr>
            <w:tcW w:w="7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18</w:t>
            </w:r>
          </w:p>
        </w:tc>
        <w:tc>
          <w:tcPr>
            <w:tcW w:w="14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钙</w:t>
            </w:r>
          </w:p>
        </w:tc>
        <w:tc>
          <w:tcPr>
            <w:tcW w:w="127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76</w:t>
            </w:r>
          </w:p>
        </w:tc>
        <w:tc>
          <w:tcPr>
            <w:tcW w:w="91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30</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57</w:t>
            </w:r>
          </w:p>
        </w:tc>
        <w:tc>
          <w:tcPr>
            <w:tcW w:w="128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c>
          <w:tcPr>
            <w:tcW w:w="231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459" w:hRule="atLeast"/>
        </w:trPr>
        <w:tc>
          <w:tcPr>
            <w:tcW w:w="7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19</w:t>
            </w:r>
          </w:p>
        </w:tc>
        <w:tc>
          <w:tcPr>
            <w:tcW w:w="14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锌</w:t>
            </w:r>
          </w:p>
        </w:tc>
        <w:tc>
          <w:tcPr>
            <w:tcW w:w="127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91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28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c>
          <w:tcPr>
            <w:tcW w:w="231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459" w:hRule="atLeast"/>
        </w:trPr>
        <w:tc>
          <w:tcPr>
            <w:tcW w:w="7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w:t>
            </w:r>
          </w:p>
        </w:tc>
        <w:tc>
          <w:tcPr>
            <w:tcW w:w="14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磷</w:t>
            </w:r>
          </w:p>
        </w:tc>
        <w:tc>
          <w:tcPr>
            <w:tcW w:w="127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w:t>
            </w:r>
          </w:p>
        </w:tc>
        <w:tc>
          <w:tcPr>
            <w:tcW w:w="91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28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c>
          <w:tcPr>
            <w:tcW w:w="231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459" w:hRule="atLeast"/>
        </w:trPr>
        <w:tc>
          <w:tcPr>
            <w:tcW w:w="7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21</w:t>
            </w:r>
          </w:p>
        </w:tc>
        <w:tc>
          <w:tcPr>
            <w:tcW w:w="14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净热值</w:t>
            </w:r>
          </w:p>
        </w:tc>
        <w:tc>
          <w:tcPr>
            <w:tcW w:w="127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40.44</w:t>
            </w:r>
          </w:p>
        </w:tc>
        <w:tc>
          <w:tcPr>
            <w:tcW w:w="91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40.6</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40.67</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39.94</w:t>
            </w:r>
          </w:p>
        </w:tc>
        <w:tc>
          <w:tcPr>
            <w:tcW w:w="128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MJ/kg</w:t>
            </w:r>
          </w:p>
        </w:tc>
        <w:tc>
          <w:tcPr>
            <w:tcW w:w="23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384</w:t>
            </w:r>
          </w:p>
        </w:tc>
      </w:tr>
      <w:tr>
        <w:tblPrEx>
          <w:tblCellMar>
            <w:top w:w="0" w:type="dxa"/>
            <w:left w:w="108" w:type="dxa"/>
            <w:bottom w:w="0" w:type="dxa"/>
            <w:right w:w="108" w:type="dxa"/>
          </w:tblCellMar>
        </w:tblPrEx>
        <w:trPr>
          <w:trHeight w:val="488" w:hRule="atLeast"/>
        </w:trPr>
        <w:tc>
          <w:tcPr>
            <w:tcW w:w="7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22</w:t>
            </w:r>
          </w:p>
        </w:tc>
        <w:tc>
          <w:tcPr>
            <w:tcW w:w="14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脂肪酸甲酯</w:t>
            </w:r>
          </w:p>
        </w:tc>
        <w:tc>
          <w:tcPr>
            <w:tcW w:w="1274"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r>
              <w:rPr>
                <w:rFonts w:hint="eastAsia" w:ascii="宋体" w:hAnsi="宋体" w:eastAsia="宋体" w:cs="宋体"/>
                <w:color w:val="000000"/>
                <w:sz w:val="22"/>
                <w:szCs w:val="22"/>
              </w:rPr>
              <w:t>19.62</w:t>
            </w:r>
          </w:p>
        </w:tc>
        <w:tc>
          <w:tcPr>
            <w:tcW w:w="918"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r>
              <w:rPr>
                <w:rFonts w:hint="eastAsia" w:ascii="宋体" w:hAnsi="宋体" w:eastAsia="宋体" w:cs="宋体"/>
                <w:color w:val="000000"/>
                <w:sz w:val="22"/>
                <w:szCs w:val="22"/>
              </w:rPr>
              <w:t>19.46</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r>
              <w:rPr>
                <w:rFonts w:hint="eastAsia" w:ascii="宋体" w:hAnsi="宋体" w:eastAsia="宋体" w:cs="宋体"/>
                <w:color w:val="000000"/>
                <w:sz w:val="22"/>
                <w:szCs w:val="22"/>
              </w:rPr>
              <w:t>19.37</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r>
              <w:rPr>
                <w:rFonts w:hint="eastAsia" w:ascii="宋体" w:hAnsi="宋体" w:eastAsia="宋体" w:cs="宋体"/>
                <w:color w:val="000000"/>
                <w:sz w:val="22"/>
                <w:szCs w:val="22"/>
              </w:rPr>
              <w:t>19.87</w:t>
            </w:r>
          </w:p>
        </w:tc>
        <w:tc>
          <w:tcPr>
            <w:tcW w:w="128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23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质谱法</w:t>
            </w:r>
          </w:p>
        </w:tc>
      </w:tr>
    </w:tbl>
    <w:p>
      <w:pPr>
        <w:jc w:val="center"/>
        <w:rPr>
          <w:rFonts w:eastAsia="宋体"/>
        </w:rPr>
      </w:pPr>
    </w:p>
    <w:p>
      <w:pPr>
        <w:jc w:val="center"/>
        <w:rPr>
          <w:rFonts w:eastAsia="宋体"/>
        </w:rPr>
      </w:pPr>
    </w:p>
    <w:p>
      <w:pPr>
        <w:jc w:val="center"/>
        <w:rPr>
          <w:rFonts w:eastAsia="宋体"/>
        </w:rPr>
      </w:pPr>
    </w:p>
    <w:p>
      <w:pPr>
        <w:jc w:val="center"/>
        <w:rPr>
          <w:rFonts w:eastAsia="宋体"/>
        </w:rPr>
      </w:pPr>
      <w:r>
        <w:rPr>
          <w:rFonts w:hint="eastAsia" w:eastAsia="宋体"/>
        </w:rPr>
        <w:t>表5  B24生物燃料油结果汇总</w:t>
      </w:r>
    </w:p>
    <w:tbl>
      <w:tblPr>
        <w:tblStyle w:val="4"/>
        <w:tblW w:w="10133" w:type="dxa"/>
        <w:tblInd w:w="-451" w:type="dxa"/>
        <w:tblLayout w:type="fixed"/>
        <w:tblCellMar>
          <w:top w:w="0" w:type="dxa"/>
          <w:left w:w="108" w:type="dxa"/>
          <w:bottom w:w="0" w:type="dxa"/>
          <w:right w:w="108" w:type="dxa"/>
        </w:tblCellMar>
      </w:tblPr>
      <w:tblGrid>
        <w:gridCol w:w="726"/>
        <w:gridCol w:w="1466"/>
        <w:gridCol w:w="1200"/>
        <w:gridCol w:w="1008"/>
        <w:gridCol w:w="1037"/>
        <w:gridCol w:w="1244"/>
        <w:gridCol w:w="1141"/>
        <w:gridCol w:w="2311"/>
      </w:tblGrid>
      <w:tr>
        <w:tblPrEx>
          <w:tblCellMar>
            <w:top w:w="0" w:type="dxa"/>
            <w:left w:w="108" w:type="dxa"/>
            <w:bottom w:w="0" w:type="dxa"/>
            <w:right w:w="108" w:type="dxa"/>
          </w:tblCellMar>
        </w:tblPrEx>
        <w:trPr>
          <w:trHeight w:val="441" w:hRule="atLeast"/>
        </w:trPr>
        <w:tc>
          <w:tcPr>
            <w:tcW w:w="10133" w:type="dxa"/>
            <w:gridSpan w:val="8"/>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生物燃料油结果汇总(B24)</w:t>
            </w:r>
          </w:p>
        </w:tc>
      </w:tr>
      <w:tr>
        <w:tblPrEx>
          <w:tblCellMar>
            <w:top w:w="0" w:type="dxa"/>
            <w:left w:w="108" w:type="dxa"/>
            <w:bottom w:w="0" w:type="dxa"/>
            <w:right w:w="108" w:type="dxa"/>
          </w:tblCellMar>
        </w:tblPrEx>
        <w:trPr>
          <w:trHeight w:val="441" w:hRule="atLeast"/>
        </w:trPr>
        <w:tc>
          <w:tcPr>
            <w:tcW w:w="726"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序号</w:t>
            </w:r>
          </w:p>
        </w:tc>
        <w:tc>
          <w:tcPr>
            <w:tcW w:w="1466"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检测项目</w:t>
            </w:r>
          </w:p>
        </w:tc>
        <w:tc>
          <w:tcPr>
            <w:tcW w:w="4489" w:type="dxa"/>
            <w:gridSpan w:val="4"/>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结果</w:t>
            </w:r>
          </w:p>
        </w:tc>
        <w:tc>
          <w:tcPr>
            <w:tcW w:w="1141"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单位</w:t>
            </w:r>
          </w:p>
        </w:tc>
        <w:tc>
          <w:tcPr>
            <w:tcW w:w="2311"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检测方法</w:t>
            </w:r>
          </w:p>
        </w:tc>
      </w:tr>
      <w:tr>
        <w:tblPrEx>
          <w:tblCellMar>
            <w:top w:w="0" w:type="dxa"/>
            <w:left w:w="108" w:type="dxa"/>
            <w:bottom w:w="0" w:type="dxa"/>
            <w:right w:w="108" w:type="dxa"/>
          </w:tblCellMar>
        </w:tblPrEx>
        <w:trPr>
          <w:trHeight w:val="740" w:hRule="atLeast"/>
        </w:trPr>
        <w:tc>
          <w:tcPr>
            <w:tcW w:w="72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b/>
                <w:bCs/>
                <w:color w:val="000000"/>
                <w:sz w:val="22"/>
                <w:szCs w:val="22"/>
              </w:rPr>
            </w:pPr>
          </w:p>
        </w:tc>
        <w:tc>
          <w:tcPr>
            <w:tcW w:w="146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b/>
                <w:bCs/>
                <w:color w:val="000000"/>
                <w:sz w:val="22"/>
                <w:szCs w:val="22"/>
              </w:rPr>
            </w:pP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中海油+BD100  KY 2-3</w:t>
            </w:r>
          </w:p>
        </w:tc>
        <w:tc>
          <w:tcPr>
            <w:tcW w:w="10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中石油+BD100  KY 3-3</w:t>
            </w:r>
          </w:p>
        </w:tc>
        <w:tc>
          <w:tcPr>
            <w:tcW w:w="10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中石化+BD100  KY 4-3</w:t>
            </w:r>
          </w:p>
        </w:tc>
        <w:tc>
          <w:tcPr>
            <w:tcW w:w="12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民营+BD100  KY 5-3</w:t>
            </w:r>
          </w:p>
        </w:tc>
        <w:tc>
          <w:tcPr>
            <w:tcW w:w="114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b/>
                <w:bCs/>
                <w:color w:val="000000"/>
                <w:sz w:val="22"/>
                <w:szCs w:val="22"/>
              </w:rPr>
            </w:pPr>
          </w:p>
        </w:tc>
        <w:tc>
          <w:tcPr>
            <w:tcW w:w="231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b/>
                <w:bCs/>
                <w:color w:val="000000"/>
                <w:sz w:val="22"/>
                <w:szCs w:val="22"/>
              </w:rPr>
            </w:pPr>
          </w:p>
        </w:tc>
      </w:tr>
      <w:tr>
        <w:tblPrEx>
          <w:tblCellMar>
            <w:top w:w="0" w:type="dxa"/>
            <w:left w:w="108" w:type="dxa"/>
            <w:bottom w:w="0" w:type="dxa"/>
            <w:right w:w="108" w:type="dxa"/>
          </w:tblCellMar>
        </w:tblPrEx>
        <w:trPr>
          <w:trHeight w:val="441" w:hRule="atLeast"/>
        </w:trPr>
        <w:tc>
          <w:tcPr>
            <w:tcW w:w="72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4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运动粘度50</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37.23</w:t>
            </w:r>
          </w:p>
        </w:tc>
        <w:tc>
          <w:tcPr>
            <w:tcW w:w="100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38.78</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36.65</w:t>
            </w: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39.87</w:t>
            </w:r>
          </w:p>
        </w:tc>
        <w:tc>
          <w:tcPr>
            <w:tcW w:w="11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mm</w:t>
            </w:r>
            <w:r>
              <w:rPr>
                <w:rFonts w:hint="eastAsia" w:ascii="宋体" w:hAnsi="宋体" w:eastAsia="宋体" w:cs="宋体"/>
                <w:color w:val="000000"/>
                <w:kern w:val="0"/>
                <w:sz w:val="22"/>
                <w:szCs w:val="22"/>
                <w:vertAlign w:val="superscript"/>
                <w:lang w:bidi="ar"/>
              </w:rPr>
              <w:t>2</w:t>
            </w:r>
            <w:r>
              <w:rPr>
                <w:rFonts w:hint="eastAsia" w:ascii="宋体" w:hAnsi="宋体" w:eastAsia="宋体" w:cs="宋体"/>
                <w:color w:val="000000"/>
                <w:kern w:val="0"/>
                <w:sz w:val="22"/>
                <w:szCs w:val="22"/>
                <w:lang w:bidi="ar"/>
              </w:rPr>
              <w:t>/s</w:t>
            </w:r>
          </w:p>
        </w:tc>
        <w:tc>
          <w:tcPr>
            <w:tcW w:w="23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30515</w:t>
            </w:r>
          </w:p>
        </w:tc>
      </w:tr>
      <w:tr>
        <w:tblPrEx>
          <w:tblCellMar>
            <w:top w:w="0" w:type="dxa"/>
            <w:left w:w="108" w:type="dxa"/>
            <w:bottom w:w="0" w:type="dxa"/>
            <w:right w:w="108" w:type="dxa"/>
          </w:tblCellMar>
        </w:tblPrEx>
        <w:trPr>
          <w:trHeight w:val="441" w:hRule="atLeast"/>
        </w:trPr>
        <w:tc>
          <w:tcPr>
            <w:tcW w:w="72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w:t>
            </w:r>
          </w:p>
        </w:tc>
        <w:tc>
          <w:tcPr>
            <w:tcW w:w="14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密度15</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934.3 </w:t>
            </w:r>
          </w:p>
        </w:tc>
        <w:tc>
          <w:tcPr>
            <w:tcW w:w="100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929.8 </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926.6 </w:t>
            </w: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960.0 </w:t>
            </w:r>
          </w:p>
        </w:tc>
        <w:tc>
          <w:tcPr>
            <w:tcW w:w="11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kg/m</w:t>
            </w:r>
            <w:r>
              <w:rPr>
                <w:rFonts w:hint="eastAsia" w:ascii="宋体" w:hAnsi="宋体" w:eastAsia="宋体" w:cs="宋体"/>
                <w:color w:val="000000"/>
                <w:kern w:val="0"/>
                <w:sz w:val="22"/>
                <w:szCs w:val="22"/>
                <w:vertAlign w:val="superscript"/>
                <w:lang w:bidi="ar"/>
              </w:rPr>
              <w:t>3</w:t>
            </w:r>
          </w:p>
        </w:tc>
        <w:tc>
          <w:tcPr>
            <w:tcW w:w="23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SH/T 0604</w:t>
            </w:r>
          </w:p>
        </w:tc>
      </w:tr>
      <w:tr>
        <w:tblPrEx>
          <w:tblCellMar>
            <w:top w:w="0" w:type="dxa"/>
            <w:left w:w="108" w:type="dxa"/>
            <w:bottom w:w="0" w:type="dxa"/>
            <w:right w:w="108" w:type="dxa"/>
          </w:tblCellMar>
        </w:tblPrEx>
        <w:trPr>
          <w:trHeight w:val="441" w:hRule="atLeast"/>
        </w:trPr>
        <w:tc>
          <w:tcPr>
            <w:tcW w:w="72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w:t>
            </w:r>
          </w:p>
        </w:tc>
        <w:tc>
          <w:tcPr>
            <w:tcW w:w="14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密度20</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930.8 </w:t>
            </w:r>
          </w:p>
        </w:tc>
        <w:tc>
          <w:tcPr>
            <w:tcW w:w="100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926.3 </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923.2 </w:t>
            </w: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956.6 </w:t>
            </w:r>
          </w:p>
        </w:tc>
        <w:tc>
          <w:tcPr>
            <w:tcW w:w="11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kg/m</w:t>
            </w:r>
            <w:r>
              <w:rPr>
                <w:rFonts w:hint="eastAsia" w:ascii="宋体" w:hAnsi="宋体" w:eastAsia="宋体" w:cs="宋体"/>
                <w:color w:val="000000"/>
                <w:kern w:val="0"/>
                <w:sz w:val="22"/>
                <w:szCs w:val="22"/>
                <w:vertAlign w:val="superscript"/>
                <w:lang w:bidi="ar"/>
              </w:rPr>
              <w:t>3</w:t>
            </w:r>
          </w:p>
        </w:tc>
        <w:tc>
          <w:tcPr>
            <w:tcW w:w="23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SH/T 0604</w:t>
            </w:r>
          </w:p>
        </w:tc>
      </w:tr>
      <w:tr>
        <w:tblPrEx>
          <w:tblCellMar>
            <w:top w:w="0" w:type="dxa"/>
            <w:left w:w="108" w:type="dxa"/>
            <w:bottom w:w="0" w:type="dxa"/>
            <w:right w:w="108" w:type="dxa"/>
          </w:tblCellMar>
        </w:tblPrEx>
        <w:trPr>
          <w:trHeight w:val="441" w:hRule="atLeast"/>
        </w:trPr>
        <w:tc>
          <w:tcPr>
            <w:tcW w:w="72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w:t>
            </w:r>
          </w:p>
        </w:tc>
        <w:tc>
          <w:tcPr>
            <w:tcW w:w="14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碳芳香指数CCAI</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825</w:t>
            </w:r>
          </w:p>
        </w:tc>
        <w:tc>
          <w:tcPr>
            <w:tcW w:w="100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821</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818</w:t>
            </w: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850</w:t>
            </w:r>
          </w:p>
        </w:tc>
        <w:tc>
          <w:tcPr>
            <w:tcW w:w="11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23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 17411-2015附录F</w:t>
            </w:r>
          </w:p>
        </w:tc>
      </w:tr>
      <w:tr>
        <w:tblPrEx>
          <w:tblCellMar>
            <w:top w:w="0" w:type="dxa"/>
            <w:left w:w="108" w:type="dxa"/>
            <w:bottom w:w="0" w:type="dxa"/>
            <w:right w:w="108" w:type="dxa"/>
          </w:tblCellMar>
        </w:tblPrEx>
        <w:trPr>
          <w:trHeight w:val="441" w:hRule="atLeast"/>
        </w:trPr>
        <w:tc>
          <w:tcPr>
            <w:tcW w:w="72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w:t>
            </w:r>
          </w:p>
        </w:tc>
        <w:tc>
          <w:tcPr>
            <w:tcW w:w="14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硫含量</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0.319 </w:t>
            </w:r>
          </w:p>
        </w:tc>
        <w:tc>
          <w:tcPr>
            <w:tcW w:w="100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0.348 </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0.305 </w:t>
            </w: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0.331 </w:t>
            </w:r>
          </w:p>
        </w:tc>
        <w:tc>
          <w:tcPr>
            <w:tcW w:w="11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23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17040</w:t>
            </w:r>
          </w:p>
        </w:tc>
      </w:tr>
      <w:tr>
        <w:tblPrEx>
          <w:tblCellMar>
            <w:top w:w="0" w:type="dxa"/>
            <w:left w:w="108" w:type="dxa"/>
            <w:bottom w:w="0" w:type="dxa"/>
            <w:right w:w="108" w:type="dxa"/>
          </w:tblCellMar>
        </w:tblPrEx>
        <w:trPr>
          <w:trHeight w:val="441" w:hRule="atLeast"/>
        </w:trPr>
        <w:tc>
          <w:tcPr>
            <w:tcW w:w="72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w:t>
            </w:r>
          </w:p>
        </w:tc>
        <w:tc>
          <w:tcPr>
            <w:tcW w:w="14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闪点（闭口）</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139.0 </w:t>
            </w:r>
          </w:p>
        </w:tc>
        <w:tc>
          <w:tcPr>
            <w:tcW w:w="100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101.0 </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99.0 </w:t>
            </w: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105.0 </w:t>
            </w:r>
          </w:p>
        </w:tc>
        <w:tc>
          <w:tcPr>
            <w:tcW w:w="11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23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261</w:t>
            </w:r>
          </w:p>
        </w:tc>
      </w:tr>
      <w:tr>
        <w:tblPrEx>
          <w:tblCellMar>
            <w:top w:w="0" w:type="dxa"/>
            <w:left w:w="108" w:type="dxa"/>
            <w:bottom w:w="0" w:type="dxa"/>
            <w:right w:w="108" w:type="dxa"/>
          </w:tblCellMar>
        </w:tblPrEx>
        <w:trPr>
          <w:trHeight w:val="441" w:hRule="atLeast"/>
        </w:trPr>
        <w:tc>
          <w:tcPr>
            <w:tcW w:w="72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w:t>
            </w:r>
          </w:p>
        </w:tc>
        <w:tc>
          <w:tcPr>
            <w:tcW w:w="14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硫化氢</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＜0.60</w:t>
            </w:r>
          </w:p>
        </w:tc>
        <w:tc>
          <w:tcPr>
            <w:tcW w:w="100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＜0.60</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＜0.60</w:t>
            </w: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＜0.60</w:t>
            </w:r>
          </w:p>
        </w:tc>
        <w:tc>
          <w:tcPr>
            <w:tcW w:w="11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mg/kg</w:t>
            </w:r>
          </w:p>
        </w:tc>
        <w:tc>
          <w:tcPr>
            <w:tcW w:w="23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IP 570</w:t>
            </w:r>
          </w:p>
        </w:tc>
      </w:tr>
      <w:tr>
        <w:tblPrEx>
          <w:tblCellMar>
            <w:top w:w="0" w:type="dxa"/>
            <w:left w:w="108" w:type="dxa"/>
            <w:bottom w:w="0" w:type="dxa"/>
            <w:right w:w="108" w:type="dxa"/>
          </w:tblCellMar>
        </w:tblPrEx>
        <w:trPr>
          <w:trHeight w:val="441" w:hRule="atLeast"/>
        </w:trPr>
        <w:tc>
          <w:tcPr>
            <w:tcW w:w="72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w:t>
            </w:r>
          </w:p>
        </w:tc>
        <w:tc>
          <w:tcPr>
            <w:tcW w:w="14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酸值</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0.92 </w:t>
            </w:r>
          </w:p>
        </w:tc>
        <w:tc>
          <w:tcPr>
            <w:tcW w:w="100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0.88 </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0.20 </w:t>
            </w: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1.08 </w:t>
            </w:r>
          </w:p>
        </w:tc>
        <w:tc>
          <w:tcPr>
            <w:tcW w:w="11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mgKOH/g</w:t>
            </w:r>
          </w:p>
        </w:tc>
        <w:tc>
          <w:tcPr>
            <w:tcW w:w="23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7304</w:t>
            </w:r>
          </w:p>
        </w:tc>
      </w:tr>
      <w:tr>
        <w:tblPrEx>
          <w:tblCellMar>
            <w:top w:w="0" w:type="dxa"/>
            <w:left w:w="108" w:type="dxa"/>
            <w:bottom w:w="0" w:type="dxa"/>
            <w:right w:w="108" w:type="dxa"/>
          </w:tblCellMar>
        </w:tblPrEx>
        <w:trPr>
          <w:trHeight w:val="441" w:hRule="atLeast"/>
        </w:trPr>
        <w:tc>
          <w:tcPr>
            <w:tcW w:w="72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w:t>
            </w:r>
          </w:p>
        </w:tc>
        <w:tc>
          <w:tcPr>
            <w:tcW w:w="14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总沉淀物</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＜0.01</w:t>
            </w:r>
          </w:p>
        </w:tc>
        <w:tc>
          <w:tcPr>
            <w:tcW w:w="100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＜0.01</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＜0.01</w:t>
            </w: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＜0.01</w:t>
            </w:r>
          </w:p>
        </w:tc>
        <w:tc>
          <w:tcPr>
            <w:tcW w:w="11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23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SH/T 0702</w:t>
            </w:r>
          </w:p>
        </w:tc>
      </w:tr>
      <w:tr>
        <w:tblPrEx>
          <w:tblCellMar>
            <w:top w:w="0" w:type="dxa"/>
            <w:left w:w="108" w:type="dxa"/>
            <w:bottom w:w="0" w:type="dxa"/>
            <w:right w:w="108" w:type="dxa"/>
          </w:tblCellMar>
        </w:tblPrEx>
        <w:trPr>
          <w:trHeight w:val="441" w:hRule="atLeast"/>
        </w:trPr>
        <w:tc>
          <w:tcPr>
            <w:tcW w:w="72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w:t>
            </w:r>
          </w:p>
        </w:tc>
        <w:tc>
          <w:tcPr>
            <w:tcW w:w="14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残炭</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5.38</w:t>
            </w:r>
          </w:p>
        </w:tc>
        <w:tc>
          <w:tcPr>
            <w:tcW w:w="100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6.17</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6.23</w:t>
            </w: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6.69</w:t>
            </w:r>
          </w:p>
        </w:tc>
        <w:tc>
          <w:tcPr>
            <w:tcW w:w="11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23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17144</w:t>
            </w:r>
          </w:p>
        </w:tc>
      </w:tr>
      <w:tr>
        <w:tblPrEx>
          <w:tblCellMar>
            <w:top w:w="0" w:type="dxa"/>
            <w:left w:w="108" w:type="dxa"/>
            <w:bottom w:w="0" w:type="dxa"/>
            <w:right w:w="108" w:type="dxa"/>
          </w:tblCellMar>
        </w:tblPrEx>
        <w:trPr>
          <w:trHeight w:val="441" w:hRule="atLeast"/>
        </w:trPr>
        <w:tc>
          <w:tcPr>
            <w:tcW w:w="72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11</w:t>
            </w:r>
          </w:p>
        </w:tc>
        <w:tc>
          <w:tcPr>
            <w:tcW w:w="14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倾点</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w:t>
            </w:r>
          </w:p>
        </w:tc>
        <w:tc>
          <w:tcPr>
            <w:tcW w:w="100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w:t>
            </w: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w:t>
            </w:r>
          </w:p>
        </w:tc>
        <w:tc>
          <w:tcPr>
            <w:tcW w:w="11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23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3535</w:t>
            </w:r>
          </w:p>
        </w:tc>
      </w:tr>
      <w:tr>
        <w:tblPrEx>
          <w:tblCellMar>
            <w:top w:w="0" w:type="dxa"/>
            <w:left w:w="108" w:type="dxa"/>
            <w:bottom w:w="0" w:type="dxa"/>
            <w:right w:w="108" w:type="dxa"/>
          </w:tblCellMar>
        </w:tblPrEx>
        <w:trPr>
          <w:trHeight w:val="441" w:hRule="atLeast"/>
        </w:trPr>
        <w:tc>
          <w:tcPr>
            <w:tcW w:w="72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12</w:t>
            </w:r>
          </w:p>
        </w:tc>
        <w:tc>
          <w:tcPr>
            <w:tcW w:w="14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水分</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0.29</w:t>
            </w:r>
          </w:p>
        </w:tc>
        <w:tc>
          <w:tcPr>
            <w:tcW w:w="100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0.14</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0.11</w:t>
            </w: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0.1</w:t>
            </w:r>
          </w:p>
        </w:tc>
        <w:tc>
          <w:tcPr>
            <w:tcW w:w="11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23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11133</w:t>
            </w:r>
          </w:p>
        </w:tc>
      </w:tr>
      <w:tr>
        <w:tblPrEx>
          <w:tblCellMar>
            <w:top w:w="0" w:type="dxa"/>
            <w:left w:w="108" w:type="dxa"/>
            <w:bottom w:w="0" w:type="dxa"/>
            <w:right w:w="108" w:type="dxa"/>
          </w:tblCellMar>
        </w:tblPrEx>
        <w:trPr>
          <w:trHeight w:val="441" w:hRule="atLeast"/>
        </w:trPr>
        <w:tc>
          <w:tcPr>
            <w:tcW w:w="72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13</w:t>
            </w:r>
          </w:p>
        </w:tc>
        <w:tc>
          <w:tcPr>
            <w:tcW w:w="14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灰分</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0.034</w:t>
            </w:r>
          </w:p>
        </w:tc>
        <w:tc>
          <w:tcPr>
            <w:tcW w:w="100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0.019</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0.005</w:t>
            </w: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0.023</w:t>
            </w:r>
          </w:p>
        </w:tc>
        <w:tc>
          <w:tcPr>
            <w:tcW w:w="11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23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508</w:t>
            </w:r>
          </w:p>
        </w:tc>
      </w:tr>
      <w:tr>
        <w:tblPrEx>
          <w:tblCellMar>
            <w:top w:w="0" w:type="dxa"/>
            <w:left w:w="108" w:type="dxa"/>
            <w:bottom w:w="0" w:type="dxa"/>
            <w:right w:w="108" w:type="dxa"/>
          </w:tblCellMar>
        </w:tblPrEx>
        <w:trPr>
          <w:trHeight w:val="441" w:hRule="atLeast"/>
        </w:trPr>
        <w:tc>
          <w:tcPr>
            <w:tcW w:w="72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14</w:t>
            </w:r>
          </w:p>
        </w:tc>
        <w:tc>
          <w:tcPr>
            <w:tcW w:w="14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钒</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w:t>
            </w:r>
          </w:p>
        </w:tc>
        <w:tc>
          <w:tcPr>
            <w:tcW w:w="100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w:t>
            </w: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w:t>
            </w:r>
          </w:p>
        </w:tc>
        <w:tc>
          <w:tcPr>
            <w:tcW w:w="1141"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mg/kg</w:t>
            </w:r>
          </w:p>
        </w:tc>
        <w:tc>
          <w:tcPr>
            <w:tcW w:w="2311"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IP 501</w:t>
            </w:r>
          </w:p>
        </w:tc>
      </w:tr>
      <w:tr>
        <w:tblPrEx>
          <w:tblCellMar>
            <w:top w:w="0" w:type="dxa"/>
            <w:left w:w="108" w:type="dxa"/>
            <w:bottom w:w="0" w:type="dxa"/>
            <w:right w:w="108" w:type="dxa"/>
          </w:tblCellMar>
        </w:tblPrEx>
        <w:trPr>
          <w:trHeight w:val="441" w:hRule="atLeast"/>
        </w:trPr>
        <w:tc>
          <w:tcPr>
            <w:tcW w:w="72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15</w:t>
            </w:r>
          </w:p>
        </w:tc>
        <w:tc>
          <w:tcPr>
            <w:tcW w:w="14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钠</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00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w:t>
            </w: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w:t>
            </w:r>
          </w:p>
        </w:tc>
        <w:tc>
          <w:tcPr>
            <w:tcW w:w="114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c>
          <w:tcPr>
            <w:tcW w:w="231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441" w:hRule="atLeast"/>
        </w:trPr>
        <w:tc>
          <w:tcPr>
            <w:tcW w:w="72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16</w:t>
            </w:r>
          </w:p>
        </w:tc>
        <w:tc>
          <w:tcPr>
            <w:tcW w:w="14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铝</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00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w:t>
            </w: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14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c>
          <w:tcPr>
            <w:tcW w:w="231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441" w:hRule="atLeast"/>
        </w:trPr>
        <w:tc>
          <w:tcPr>
            <w:tcW w:w="72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17</w:t>
            </w:r>
          </w:p>
        </w:tc>
        <w:tc>
          <w:tcPr>
            <w:tcW w:w="14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硅</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00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w:t>
            </w: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w:t>
            </w:r>
          </w:p>
        </w:tc>
        <w:tc>
          <w:tcPr>
            <w:tcW w:w="114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c>
          <w:tcPr>
            <w:tcW w:w="231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441" w:hRule="atLeast"/>
        </w:trPr>
        <w:tc>
          <w:tcPr>
            <w:tcW w:w="72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18</w:t>
            </w:r>
          </w:p>
        </w:tc>
        <w:tc>
          <w:tcPr>
            <w:tcW w:w="14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钙</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72</w:t>
            </w:r>
          </w:p>
        </w:tc>
        <w:tc>
          <w:tcPr>
            <w:tcW w:w="100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28</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w:t>
            </w: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54</w:t>
            </w:r>
          </w:p>
        </w:tc>
        <w:tc>
          <w:tcPr>
            <w:tcW w:w="114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c>
          <w:tcPr>
            <w:tcW w:w="231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441" w:hRule="atLeast"/>
        </w:trPr>
        <w:tc>
          <w:tcPr>
            <w:tcW w:w="72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19</w:t>
            </w:r>
          </w:p>
        </w:tc>
        <w:tc>
          <w:tcPr>
            <w:tcW w:w="14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锌</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00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14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c>
          <w:tcPr>
            <w:tcW w:w="231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441" w:hRule="atLeast"/>
        </w:trPr>
        <w:tc>
          <w:tcPr>
            <w:tcW w:w="72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w:t>
            </w:r>
          </w:p>
        </w:tc>
        <w:tc>
          <w:tcPr>
            <w:tcW w:w="14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磷</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00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14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c>
          <w:tcPr>
            <w:tcW w:w="231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441" w:hRule="atLeast"/>
        </w:trPr>
        <w:tc>
          <w:tcPr>
            <w:tcW w:w="72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21</w:t>
            </w:r>
          </w:p>
        </w:tc>
        <w:tc>
          <w:tcPr>
            <w:tcW w:w="14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净热值</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40.32</w:t>
            </w:r>
          </w:p>
        </w:tc>
        <w:tc>
          <w:tcPr>
            <w:tcW w:w="100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40.52</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40.58</w:t>
            </w: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39.84</w:t>
            </w:r>
          </w:p>
        </w:tc>
        <w:tc>
          <w:tcPr>
            <w:tcW w:w="11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MJ/kg</w:t>
            </w:r>
          </w:p>
        </w:tc>
        <w:tc>
          <w:tcPr>
            <w:tcW w:w="23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384</w:t>
            </w:r>
          </w:p>
        </w:tc>
      </w:tr>
      <w:tr>
        <w:tblPrEx>
          <w:tblCellMar>
            <w:top w:w="0" w:type="dxa"/>
            <w:left w:w="108" w:type="dxa"/>
            <w:bottom w:w="0" w:type="dxa"/>
            <w:right w:w="108" w:type="dxa"/>
          </w:tblCellMar>
        </w:tblPrEx>
        <w:trPr>
          <w:trHeight w:val="459" w:hRule="atLeast"/>
        </w:trPr>
        <w:tc>
          <w:tcPr>
            <w:tcW w:w="72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22</w:t>
            </w:r>
          </w:p>
        </w:tc>
        <w:tc>
          <w:tcPr>
            <w:tcW w:w="14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脂肪酸甲酯</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r>
              <w:rPr>
                <w:rFonts w:hint="eastAsia" w:ascii="宋体" w:hAnsi="宋体" w:eastAsia="宋体" w:cs="宋体"/>
                <w:color w:val="000000"/>
                <w:sz w:val="22"/>
                <w:szCs w:val="22"/>
              </w:rPr>
              <w:t>23.51</w:t>
            </w:r>
          </w:p>
        </w:tc>
        <w:tc>
          <w:tcPr>
            <w:tcW w:w="1008"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r>
              <w:rPr>
                <w:rFonts w:hint="eastAsia" w:ascii="宋体" w:hAnsi="宋体" w:eastAsia="宋体" w:cs="宋体"/>
                <w:color w:val="000000"/>
                <w:sz w:val="22"/>
                <w:szCs w:val="22"/>
              </w:rPr>
              <w:t>23.38</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r>
              <w:rPr>
                <w:rFonts w:hint="eastAsia" w:ascii="宋体" w:hAnsi="宋体" w:eastAsia="宋体" w:cs="宋体"/>
                <w:color w:val="000000"/>
                <w:sz w:val="22"/>
                <w:szCs w:val="22"/>
              </w:rPr>
              <w:t>23.75</w:t>
            </w:r>
          </w:p>
        </w:tc>
        <w:tc>
          <w:tcPr>
            <w:tcW w:w="1244"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r>
              <w:rPr>
                <w:rFonts w:hint="eastAsia" w:ascii="宋体" w:hAnsi="宋体" w:eastAsia="宋体" w:cs="宋体"/>
                <w:color w:val="000000"/>
                <w:sz w:val="22"/>
                <w:szCs w:val="22"/>
              </w:rPr>
              <w:t>23.46</w:t>
            </w:r>
          </w:p>
        </w:tc>
        <w:tc>
          <w:tcPr>
            <w:tcW w:w="11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23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质谱法</w:t>
            </w:r>
          </w:p>
        </w:tc>
      </w:tr>
    </w:tbl>
    <w:p>
      <w:pPr>
        <w:jc w:val="center"/>
        <w:rPr>
          <w:rFonts w:eastAsia="宋体"/>
        </w:rPr>
      </w:pPr>
    </w:p>
    <w:p>
      <w:pPr>
        <w:jc w:val="center"/>
        <w:rPr>
          <w:rFonts w:eastAsia="宋体"/>
        </w:rPr>
      </w:pPr>
    </w:p>
    <w:p>
      <w:pPr>
        <w:jc w:val="center"/>
        <w:rPr>
          <w:rFonts w:eastAsia="宋体"/>
        </w:rPr>
      </w:pPr>
    </w:p>
    <w:p>
      <w:pPr>
        <w:jc w:val="center"/>
        <w:rPr>
          <w:rFonts w:eastAsia="宋体"/>
        </w:rPr>
      </w:pPr>
    </w:p>
    <w:p>
      <w:pPr>
        <w:jc w:val="center"/>
        <w:rPr>
          <w:rFonts w:eastAsia="宋体"/>
        </w:rPr>
      </w:pPr>
      <w:r>
        <w:rPr>
          <w:rFonts w:hint="eastAsia" w:eastAsia="宋体"/>
        </w:rPr>
        <w:t>表6  B30生物燃料油结果汇总</w:t>
      </w:r>
    </w:p>
    <w:tbl>
      <w:tblPr>
        <w:tblStyle w:val="4"/>
        <w:tblW w:w="10085" w:type="dxa"/>
        <w:tblInd w:w="-448" w:type="dxa"/>
        <w:tblLayout w:type="fixed"/>
        <w:tblCellMar>
          <w:top w:w="0" w:type="dxa"/>
          <w:left w:w="108" w:type="dxa"/>
          <w:bottom w:w="0" w:type="dxa"/>
          <w:right w:w="108" w:type="dxa"/>
        </w:tblCellMar>
      </w:tblPr>
      <w:tblGrid>
        <w:gridCol w:w="726"/>
        <w:gridCol w:w="1467"/>
        <w:gridCol w:w="1185"/>
        <w:gridCol w:w="1022"/>
        <w:gridCol w:w="1008"/>
        <w:gridCol w:w="1259"/>
        <w:gridCol w:w="889"/>
        <w:gridCol w:w="2529"/>
      </w:tblGrid>
      <w:tr>
        <w:tblPrEx>
          <w:tblCellMar>
            <w:top w:w="0" w:type="dxa"/>
            <w:left w:w="108" w:type="dxa"/>
            <w:bottom w:w="0" w:type="dxa"/>
            <w:right w:w="108" w:type="dxa"/>
          </w:tblCellMar>
        </w:tblPrEx>
        <w:trPr>
          <w:trHeight w:val="454" w:hRule="atLeast"/>
        </w:trPr>
        <w:tc>
          <w:tcPr>
            <w:tcW w:w="10085" w:type="dxa"/>
            <w:gridSpan w:val="8"/>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生物燃料油结果汇总(B30)</w:t>
            </w:r>
          </w:p>
        </w:tc>
      </w:tr>
      <w:tr>
        <w:tblPrEx>
          <w:tblCellMar>
            <w:top w:w="0" w:type="dxa"/>
            <w:left w:w="108" w:type="dxa"/>
            <w:bottom w:w="0" w:type="dxa"/>
            <w:right w:w="108" w:type="dxa"/>
          </w:tblCellMar>
        </w:tblPrEx>
        <w:trPr>
          <w:trHeight w:val="454" w:hRule="atLeast"/>
        </w:trPr>
        <w:tc>
          <w:tcPr>
            <w:tcW w:w="726"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序号</w:t>
            </w:r>
          </w:p>
        </w:tc>
        <w:tc>
          <w:tcPr>
            <w:tcW w:w="1467"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检测项目</w:t>
            </w:r>
          </w:p>
        </w:tc>
        <w:tc>
          <w:tcPr>
            <w:tcW w:w="4474" w:type="dxa"/>
            <w:gridSpan w:val="4"/>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结果</w:t>
            </w:r>
          </w:p>
        </w:tc>
        <w:tc>
          <w:tcPr>
            <w:tcW w:w="889"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单位</w:t>
            </w:r>
          </w:p>
        </w:tc>
        <w:tc>
          <w:tcPr>
            <w:tcW w:w="2529"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检测方法</w:t>
            </w:r>
          </w:p>
        </w:tc>
      </w:tr>
      <w:tr>
        <w:tblPrEx>
          <w:tblCellMar>
            <w:top w:w="0" w:type="dxa"/>
            <w:left w:w="108" w:type="dxa"/>
            <w:bottom w:w="0" w:type="dxa"/>
            <w:right w:w="108" w:type="dxa"/>
          </w:tblCellMar>
        </w:tblPrEx>
        <w:trPr>
          <w:trHeight w:val="1580" w:hRule="atLeast"/>
        </w:trPr>
        <w:tc>
          <w:tcPr>
            <w:tcW w:w="72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b/>
                <w:bCs/>
                <w:color w:val="000000"/>
                <w:sz w:val="22"/>
                <w:szCs w:val="22"/>
              </w:rPr>
            </w:pPr>
          </w:p>
        </w:tc>
        <w:tc>
          <w:tcPr>
            <w:tcW w:w="1467"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b/>
                <w:bCs/>
                <w:color w:val="000000"/>
                <w:sz w:val="22"/>
                <w:szCs w:val="22"/>
              </w:rPr>
            </w:pPr>
          </w:p>
        </w:tc>
        <w:tc>
          <w:tcPr>
            <w:tcW w:w="11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中海油+BD100  KY 2-4</w:t>
            </w:r>
          </w:p>
        </w:tc>
        <w:tc>
          <w:tcPr>
            <w:tcW w:w="102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中石油+BD100  KY 3-4</w:t>
            </w:r>
          </w:p>
        </w:tc>
        <w:tc>
          <w:tcPr>
            <w:tcW w:w="10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中石化+BD100  KY 4-4</w:t>
            </w:r>
          </w:p>
        </w:tc>
        <w:tc>
          <w:tcPr>
            <w:tcW w:w="12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民营+BD100  KY 5-4</w:t>
            </w:r>
          </w:p>
        </w:tc>
        <w:tc>
          <w:tcPr>
            <w:tcW w:w="88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b/>
                <w:bCs/>
                <w:color w:val="000000"/>
                <w:sz w:val="22"/>
                <w:szCs w:val="22"/>
              </w:rPr>
            </w:pPr>
          </w:p>
        </w:tc>
        <w:tc>
          <w:tcPr>
            <w:tcW w:w="252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b/>
                <w:bCs/>
                <w:color w:val="000000"/>
                <w:sz w:val="22"/>
                <w:szCs w:val="22"/>
              </w:rPr>
            </w:pPr>
          </w:p>
        </w:tc>
      </w:tr>
      <w:tr>
        <w:tblPrEx>
          <w:tblCellMar>
            <w:top w:w="0" w:type="dxa"/>
            <w:left w:w="108" w:type="dxa"/>
            <w:bottom w:w="0" w:type="dxa"/>
            <w:right w:w="108" w:type="dxa"/>
          </w:tblCellMar>
        </w:tblPrEx>
        <w:trPr>
          <w:trHeight w:val="454" w:hRule="atLeast"/>
        </w:trPr>
        <w:tc>
          <w:tcPr>
            <w:tcW w:w="72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46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运动粘度50</w:t>
            </w:r>
          </w:p>
        </w:tc>
        <w:tc>
          <w:tcPr>
            <w:tcW w:w="118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28.47</w:t>
            </w:r>
          </w:p>
        </w:tc>
        <w:tc>
          <w:tcPr>
            <w:tcW w:w="10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29.08</w:t>
            </w:r>
          </w:p>
        </w:tc>
        <w:tc>
          <w:tcPr>
            <w:tcW w:w="100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28.09</w:t>
            </w:r>
          </w:p>
        </w:tc>
        <w:tc>
          <w:tcPr>
            <w:tcW w:w="12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29.87</w:t>
            </w:r>
          </w:p>
        </w:tc>
        <w:tc>
          <w:tcPr>
            <w:tcW w:w="88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mm2/s</w:t>
            </w:r>
          </w:p>
        </w:tc>
        <w:tc>
          <w:tcPr>
            <w:tcW w:w="252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30515</w:t>
            </w:r>
          </w:p>
        </w:tc>
      </w:tr>
      <w:tr>
        <w:tblPrEx>
          <w:tblCellMar>
            <w:top w:w="0" w:type="dxa"/>
            <w:left w:w="108" w:type="dxa"/>
            <w:bottom w:w="0" w:type="dxa"/>
            <w:right w:w="108" w:type="dxa"/>
          </w:tblCellMar>
        </w:tblPrEx>
        <w:trPr>
          <w:trHeight w:val="454" w:hRule="atLeast"/>
        </w:trPr>
        <w:tc>
          <w:tcPr>
            <w:tcW w:w="72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w:t>
            </w:r>
          </w:p>
        </w:tc>
        <w:tc>
          <w:tcPr>
            <w:tcW w:w="146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密度15</w:t>
            </w:r>
          </w:p>
        </w:tc>
        <w:tc>
          <w:tcPr>
            <w:tcW w:w="118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929.7 </w:t>
            </w:r>
          </w:p>
        </w:tc>
        <w:tc>
          <w:tcPr>
            <w:tcW w:w="10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925.5 </w:t>
            </w:r>
          </w:p>
        </w:tc>
        <w:tc>
          <w:tcPr>
            <w:tcW w:w="100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922.6 </w:t>
            </w:r>
          </w:p>
        </w:tc>
        <w:tc>
          <w:tcPr>
            <w:tcW w:w="12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953.1 </w:t>
            </w:r>
          </w:p>
        </w:tc>
        <w:tc>
          <w:tcPr>
            <w:tcW w:w="88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kg/m3</w:t>
            </w:r>
          </w:p>
        </w:tc>
        <w:tc>
          <w:tcPr>
            <w:tcW w:w="252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SH/T 0604</w:t>
            </w:r>
          </w:p>
        </w:tc>
      </w:tr>
      <w:tr>
        <w:tblPrEx>
          <w:tblCellMar>
            <w:top w:w="0" w:type="dxa"/>
            <w:left w:w="108" w:type="dxa"/>
            <w:bottom w:w="0" w:type="dxa"/>
            <w:right w:w="108" w:type="dxa"/>
          </w:tblCellMar>
        </w:tblPrEx>
        <w:trPr>
          <w:trHeight w:val="454" w:hRule="atLeast"/>
        </w:trPr>
        <w:tc>
          <w:tcPr>
            <w:tcW w:w="72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w:t>
            </w:r>
          </w:p>
        </w:tc>
        <w:tc>
          <w:tcPr>
            <w:tcW w:w="146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密度20</w:t>
            </w:r>
          </w:p>
        </w:tc>
        <w:tc>
          <w:tcPr>
            <w:tcW w:w="118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926.2 </w:t>
            </w:r>
          </w:p>
        </w:tc>
        <w:tc>
          <w:tcPr>
            <w:tcW w:w="10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922.0 </w:t>
            </w:r>
          </w:p>
        </w:tc>
        <w:tc>
          <w:tcPr>
            <w:tcW w:w="100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919.1 </w:t>
            </w:r>
          </w:p>
        </w:tc>
        <w:tc>
          <w:tcPr>
            <w:tcW w:w="12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949.7 </w:t>
            </w:r>
          </w:p>
        </w:tc>
        <w:tc>
          <w:tcPr>
            <w:tcW w:w="88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kg/m3</w:t>
            </w:r>
          </w:p>
        </w:tc>
        <w:tc>
          <w:tcPr>
            <w:tcW w:w="252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SH/T 0604</w:t>
            </w:r>
          </w:p>
        </w:tc>
      </w:tr>
      <w:tr>
        <w:tblPrEx>
          <w:tblCellMar>
            <w:top w:w="0" w:type="dxa"/>
            <w:left w:w="108" w:type="dxa"/>
            <w:bottom w:w="0" w:type="dxa"/>
            <w:right w:w="108" w:type="dxa"/>
          </w:tblCellMar>
        </w:tblPrEx>
        <w:trPr>
          <w:trHeight w:val="638" w:hRule="atLeast"/>
        </w:trPr>
        <w:tc>
          <w:tcPr>
            <w:tcW w:w="72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w:t>
            </w:r>
          </w:p>
        </w:tc>
        <w:tc>
          <w:tcPr>
            <w:tcW w:w="146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碳芳香指数CCAI</w:t>
            </w:r>
          </w:p>
        </w:tc>
        <w:tc>
          <w:tcPr>
            <w:tcW w:w="118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825</w:t>
            </w:r>
          </w:p>
        </w:tc>
        <w:tc>
          <w:tcPr>
            <w:tcW w:w="10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821</w:t>
            </w:r>
          </w:p>
        </w:tc>
        <w:tc>
          <w:tcPr>
            <w:tcW w:w="100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818</w:t>
            </w:r>
          </w:p>
        </w:tc>
        <w:tc>
          <w:tcPr>
            <w:tcW w:w="12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848</w:t>
            </w:r>
          </w:p>
        </w:tc>
        <w:tc>
          <w:tcPr>
            <w:tcW w:w="88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252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 17411-2015附录F</w:t>
            </w:r>
          </w:p>
        </w:tc>
      </w:tr>
      <w:tr>
        <w:tblPrEx>
          <w:tblCellMar>
            <w:top w:w="0" w:type="dxa"/>
            <w:left w:w="108" w:type="dxa"/>
            <w:bottom w:w="0" w:type="dxa"/>
            <w:right w:w="108" w:type="dxa"/>
          </w:tblCellMar>
        </w:tblPrEx>
        <w:trPr>
          <w:trHeight w:val="454" w:hRule="atLeast"/>
        </w:trPr>
        <w:tc>
          <w:tcPr>
            <w:tcW w:w="72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w:t>
            </w:r>
          </w:p>
        </w:tc>
        <w:tc>
          <w:tcPr>
            <w:tcW w:w="146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硫含量</w:t>
            </w:r>
          </w:p>
        </w:tc>
        <w:tc>
          <w:tcPr>
            <w:tcW w:w="118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0.292 </w:t>
            </w:r>
          </w:p>
        </w:tc>
        <w:tc>
          <w:tcPr>
            <w:tcW w:w="10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0.320 </w:t>
            </w:r>
          </w:p>
        </w:tc>
        <w:tc>
          <w:tcPr>
            <w:tcW w:w="100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0.281 </w:t>
            </w:r>
          </w:p>
        </w:tc>
        <w:tc>
          <w:tcPr>
            <w:tcW w:w="12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0.302 </w:t>
            </w:r>
          </w:p>
        </w:tc>
        <w:tc>
          <w:tcPr>
            <w:tcW w:w="88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252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17040</w:t>
            </w:r>
          </w:p>
        </w:tc>
      </w:tr>
      <w:tr>
        <w:tblPrEx>
          <w:tblCellMar>
            <w:top w:w="0" w:type="dxa"/>
            <w:left w:w="108" w:type="dxa"/>
            <w:bottom w:w="0" w:type="dxa"/>
            <w:right w:w="108" w:type="dxa"/>
          </w:tblCellMar>
        </w:tblPrEx>
        <w:trPr>
          <w:trHeight w:val="454" w:hRule="atLeast"/>
        </w:trPr>
        <w:tc>
          <w:tcPr>
            <w:tcW w:w="72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w:t>
            </w:r>
          </w:p>
        </w:tc>
        <w:tc>
          <w:tcPr>
            <w:tcW w:w="146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闪点（闭口）</w:t>
            </w:r>
          </w:p>
        </w:tc>
        <w:tc>
          <w:tcPr>
            <w:tcW w:w="118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121.0 </w:t>
            </w:r>
          </w:p>
        </w:tc>
        <w:tc>
          <w:tcPr>
            <w:tcW w:w="10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103.0 </w:t>
            </w:r>
          </w:p>
        </w:tc>
        <w:tc>
          <w:tcPr>
            <w:tcW w:w="100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99.0 </w:t>
            </w:r>
          </w:p>
        </w:tc>
        <w:tc>
          <w:tcPr>
            <w:tcW w:w="12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109.0 </w:t>
            </w:r>
          </w:p>
        </w:tc>
        <w:tc>
          <w:tcPr>
            <w:tcW w:w="88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252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261</w:t>
            </w:r>
          </w:p>
        </w:tc>
      </w:tr>
      <w:tr>
        <w:tblPrEx>
          <w:tblCellMar>
            <w:top w:w="0" w:type="dxa"/>
            <w:left w:w="108" w:type="dxa"/>
            <w:bottom w:w="0" w:type="dxa"/>
            <w:right w:w="108" w:type="dxa"/>
          </w:tblCellMar>
        </w:tblPrEx>
        <w:trPr>
          <w:trHeight w:val="638" w:hRule="atLeast"/>
        </w:trPr>
        <w:tc>
          <w:tcPr>
            <w:tcW w:w="72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w:t>
            </w:r>
          </w:p>
        </w:tc>
        <w:tc>
          <w:tcPr>
            <w:tcW w:w="146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硫化氢</w:t>
            </w:r>
          </w:p>
        </w:tc>
        <w:tc>
          <w:tcPr>
            <w:tcW w:w="118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＜0.60</w:t>
            </w:r>
          </w:p>
        </w:tc>
        <w:tc>
          <w:tcPr>
            <w:tcW w:w="10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＜0.60</w:t>
            </w:r>
          </w:p>
        </w:tc>
        <w:tc>
          <w:tcPr>
            <w:tcW w:w="100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＜0.60</w:t>
            </w:r>
          </w:p>
        </w:tc>
        <w:tc>
          <w:tcPr>
            <w:tcW w:w="12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＜0.60</w:t>
            </w:r>
          </w:p>
        </w:tc>
        <w:tc>
          <w:tcPr>
            <w:tcW w:w="88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mg/kg</w:t>
            </w:r>
          </w:p>
        </w:tc>
        <w:tc>
          <w:tcPr>
            <w:tcW w:w="252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IP 570</w:t>
            </w:r>
          </w:p>
        </w:tc>
      </w:tr>
      <w:tr>
        <w:tblPrEx>
          <w:tblCellMar>
            <w:top w:w="0" w:type="dxa"/>
            <w:left w:w="108" w:type="dxa"/>
            <w:bottom w:w="0" w:type="dxa"/>
            <w:right w:w="108" w:type="dxa"/>
          </w:tblCellMar>
        </w:tblPrEx>
        <w:trPr>
          <w:trHeight w:val="638" w:hRule="atLeast"/>
        </w:trPr>
        <w:tc>
          <w:tcPr>
            <w:tcW w:w="72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w:t>
            </w:r>
          </w:p>
        </w:tc>
        <w:tc>
          <w:tcPr>
            <w:tcW w:w="146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酸值</w:t>
            </w:r>
          </w:p>
        </w:tc>
        <w:tc>
          <w:tcPr>
            <w:tcW w:w="118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0.91 </w:t>
            </w:r>
          </w:p>
        </w:tc>
        <w:tc>
          <w:tcPr>
            <w:tcW w:w="10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0.84 </w:t>
            </w:r>
          </w:p>
        </w:tc>
        <w:tc>
          <w:tcPr>
            <w:tcW w:w="100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0.23 </w:t>
            </w:r>
          </w:p>
        </w:tc>
        <w:tc>
          <w:tcPr>
            <w:tcW w:w="12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1.04 </w:t>
            </w:r>
          </w:p>
        </w:tc>
        <w:tc>
          <w:tcPr>
            <w:tcW w:w="88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mgKOH/g</w:t>
            </w:r>
          </w:p>
        </w:tc>
        <w:tc>
          <w:tcPr>
            <w:tcW w:w="252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7304</w:t>
            </w:r>
          </w:p>
        </w:tc>
      </w:tr>
      <w:tr>
        <w:tblPrEx>
          <w:tblCellMar>
            <w:top w:w="0" w:type="dxa"/>
            <w:left w:w="108" w:type="dxa"/>
            <w:bottom w:w="0" w:type="dxa"/>
            <w:right w:w="108" w:type="dxa"/>
          </w:tblCellMar>
        </w:tblPrEx>
        <w:trPr>
          <w:trHeight w:val="638" w:hRule="atLeast"/>
        </w:trPr>
        <w:tc>
          <w:tcPr>
            <w:tcW w:w="72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w:t>
            </w:r>
          </w:p>
        </w:tc>
        <w:tc>
          <w:tcPr>
            <w:tcW w:w="146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总沉淀物</w:t>
            </w:r>
          </w:p>
        </w:tc>
        <w:tc>
          <w:tcPr>
            <w:tcW w:w="118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＜0.01</w:t>
            </w:r>
          </w:p>
        </w:tc>
        <w:tc>
          <w:tcPr>
            <w:tcW w:w="10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＜0.01</w:t>
            </w:r>
          </w:p>
        </w:tc>
        <w:tc>
          <w:tcPr>
            <w:tcW w:w="100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＜0.01</w:t>
            </w:r>
          </w:p>
        </w:tc>
        <w:tc>
          <w:tcPr>
            <w:tcW w:w="12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＜0.01</w:t>
            </w:r>
          </w:p>
        </w:tc>
        <w:tc>
          <w:tcPr>
            <w:tcW w:w="88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252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SH/T 0702</w:t>
            </w:r>
          </w:p>
        </w:tc>
      </w:tr>
      <w:tr>
        <w:tblPrEx>
          <w:tblCellMar>
            <w:top w:w="0" w:type="dxa"/>
            <w:left w:w="108" w:type="dxa"/>
            <w:bottom w:w="0" w:type="dxa"/>
            <w:right w:w="108" w:type="dxa"/>
          </w:tblCellMar>
        </w:tblPrEx>
        <w:trPr>
          <w:trHeight w:val="454" w:hRule="atLeast"/>
        </w:trPr>
        <w:tc>
          <w:tcPr>
            <w:tcW w:w="72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w:t>
            </w:r>
          </w:p>
        </w:tc>
        <w:tc>
          <w:tcPr>
            <w:tcW w:w="146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残炭</w:t>
            </w:r>
          </w:p>
        </w:tc>
        <w:tc>
          <w:tcPr>
            <w:tcW w:w="118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w:t>
            </w:r>
          </w:p>
        </w:tc>
        <w:tc>
          <w:tcPr>
            <w:tcW w:w="10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5.72</w:t>
            </w:r>
          </w:p>
        </w:tc>
        <w:tc>
          <w:tcPr>
            <w:tcW w:w="100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5.67</w:t>
            </w:r>
          </w:p>
        </w:tc>
        <w:tc>
          <w:tcPr>
            <w:tcW w:w="12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6.23</w:t>
            </w:r>
          </w:p>
        </w:tc>
        <w:tc>
          <w:tcPr>
            <w:tcW w:w="88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252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17144</w:t>
            </w:r>
          </w:p>
        </w:tc>
      </w:tr>
      <w:tr>
        <w:tblPrEx>
          <w:tblCellMar>
            <w:top w:w="0" w:type="dxa"/>
            <w:left w:w="108" w:type="dxa"/>
            <w:bottom w:w="0" w:type="dxa"/>
            <w:right w:w="108" w:type="dxa"/>
          </w:tblCellMar>
        </w:tblPrEx>
        <w:trPr>
          <w:trHeight w:val="454" w:hRule="atLeast"/>
        </w:trPr>
        <w:tc>
          <w:tcPr>
            <w:tcW w:w="72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11</w:t>
            </w:r>
          </w:p>
        </w:tc>
        <w:tc>
          <w:tcPr>
            <w:tcW w:w="146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倾点</w:t>
            </w:r>
          </w:p>
        </w:tc>
        <w:tc>
          <w:tcPr>
            <w:tcW w:w="118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w:t>
            </w:r>
          </w:p>
        </w:tc>
        <w:tc>
          <w:tcPr>
            <w:tcW w:w="10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w:t>
            </w:r>
          </w:p>
        </w:tc>
        <w:tc>
          <w:tcPr>
            <w:tcW w:w="100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6/3</w:t>
            </w:r>
          </w:p>
        </w:tc>
        <w:tc>
          <w:tcPr>
            <w:tcW w:w="12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w:t>
            </w:r>
          </w:p>
        </w:tc>
        <w:tc>
          <w:tcPr>
            <w:tcW w:w="88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252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3535</w:t>
            </w:r>
          </w:p>
        </w:tc>
      </w:tr>
      <w:tr>
        <w:tblPrEx>
          <w:tblCellMar>
            <w:top w:w="0" w:type="dxa"/>
            <w:left w:w="108" w:type="dxa"/>
            <w:bottom w:w="0" w:type="dxa"/>
            <w:right w:w="108" w:type="dxa"/>
          </w:tblCellMar>
        </w:tblPrEx>
        <w:trPr>
          <w:trHeight w:val="454" w:hRule="atLeast"/>
        </w:trPr>
        <w:tc>
          <w:tcPr>
            <w:tcW w:w="72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12</w:t>
            </w:r>
          </w:p>
        </w:tc>
        <w:tc>
          <w:tcPr>
            <w:tcW w:w="146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水分</w:t>
            </w:r>
          </w:p>
        </w:tc>
        <w:tc>
          <w:tcPr>
            <w:tcW w:w="118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0.27</w:t>
            </w:r>
          </w:p>
        </w:tc>
        <w:tc>
          <w:tcPr>
            <w:tcW w:w="10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0.09</w:t>
            </w:r>
          </w:p>
        </w:tc>
        <w:tc>
          <w:tcPr>
            <w:tcW w:w="100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0.12</w:t>
            </w:r>
          </w:p>
        </w:tc>
        <w:tc>
          <w:tcPr>
            <w:tcW w:w="12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0.11</w:t>
            </w:r>
          </w:p>
        </w:tc>
        <w:tc>
          <w:tcPr>
            <w:tcW w:w="88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252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11135</w:t>
            </w:r>
          </w:p>
        </w:tc>
      </w:tr>
      <w:tr>
        <w:tblPrEx>
          <w:tblCellMar>
            <w:top w:w="0" w:type="dxa"/>
            <w:left w:w="108" w:type="dxa"/>
            <w:bottom w:w="0" w:type="dxa"/>
            <w:right w:w="108" w:type="dxa"/>
          </w:tblCellMar>
        </w:tblPrEx>
        <w:trPr>
          <w:trHeight w:val="454" w:hRule="atLeast"/>
        </w:trPr>
        <w:tc>
          <w:tcPr>
            <w:tcW w:w="72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13</w:t>
            </w:r>
          </w:p>
        </w:tc>
        <w:tc>
          <w:tcPr>
            <w:tcW w:w="146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灰分</w:t>
            </w:r>
          </w:p>
        </w:tc>
        <w:tc>
          <w:tcPr>
            <w:tcW w:w="118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0.034</w:t>
            </w:r>
          </w:p>
        </w:tc>
        <w:tc>
          <w:tcPr>
            <w:tcW w:w="10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0.015</w:t>
            </w:r>
          </w:p>
        </w:tc>
        <w:tc>
          <w:tcPr>
            <w:tcW w:w="100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0.004</w:t>
            </w:r>
          </w:p>
        </w:tc>
        <w:tc>
          <w:tcPr>
            <w:tcW w:w="12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0.023</w:t>
            </w:r>
          </w:p>
        </w:tc>
        <w:tc>
          <w:tcPr>
            <w:tcW w:w="88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252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508</w:t>
            </w:r>
          </w:p>
        </w:tc>
      </w:tr>
      <w:tr>
        <w:tblPrEx>
          <w:tblCellMar>
            <w:top w:w="0" w:type="dxa"/>
            <w:left w:w="108" w:type="dxa"/>
            <w:bottom w:w="0" w:type="dxa"/>
            <w:right w:w="108" w:type="dxa"/>
          </w:tblCellMar>
        </w:tblPrEx>
        <w:trPr>
          <w:trHeight w:val="454" w:hRule="atLeast"/>
        </w:trPr>
        <w:tc>
          <w:tcPr>
            <w:tcW w:w="72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14</w:t>
            </w:r>
          </w:p>
        </w:tc>
        <w:tc>
          <w:tcPr>
            <w:tcW w:w="146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钒</w:t>
            </w:r>
          </w:p>
        </w:tc>
        <w:tc>
          <w:tcPr>
            <w:tcW w:w="118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w:t>
            </w:r>
          </w:p>
        </w:tc>
        <w:tc>
          <w:tcPr>
            <w:tcW w:w="10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w:t>
            </w:r>
          </w:p>
        </w:tc>
        <w:tc>
          <w:tcPr>
            <w:tcW w:w="100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w:t>
            </w:r>
          </w:p>
        </w:tc>
        <w:tc>
          <w:tcPr>
            <w:tcW w:w="12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w:t>
            </w:r>
          </w:p>
        </w:tc>
        <w:tc>
          <w:tcPr>
            <w:tcW w:w="889"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mg/kg</w:t>
            </w:r>
          </w:p>
        </w:tc>
        <w:tc>
          <w:tcPr>
            <w:tcW w:w="2529"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IP 501</w:t>
            </w:r>
          </w:p>
        </w:tc>
      </w:tr>
      <w:tr>
        <w:tblPrEx>
          <w:tblCellMar>
            <w:top w:w="0" w:type="dxa"/>
            <w:left w:w="108" w:type="dxa"/>
            <w:bottom w:w="0" w:type="dxa"/>
            <w:right w:w="108" w:type="dxa"/>
          </w:tblCellMar>
        </w:tblPrEx>
        <w:trPr>
          <w:trHeight w:val="454" w:hRule="atLeast"/>
        </w:trPr>
        <w:tc>
          <w:tcPr>
            <w:tcW w:w="72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15</w:t>
            </w:r>
          </w:p>
        </w:tc>
        <w:tc>
          <w:tcPr>
            <w:tcW w:w="146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钠</w:t>
            </w:r>
          </w:p>
        </w:tc>
        <w:tc>
          <w:tcPr>
            <w:tcW w:w="118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0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00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2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w:t>
            </w:r>
          </w:p>
        </w:tc>
        <w:tc>
          <w:tcPr>
            <w:tcW w:w="88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c>
          <w:tcPr>
            <w:tcW w:w="252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454" w:hRule="atLeast"/>
        </w:trPr>
        <w:tc>
          <w:tcPr>
            <w:tcW w:w="72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16</w:t>
            </w:r>
          </w:p>
        </w:tc>
        <w:tc>
          <w:tcPr>
            <w:tcW w:w="146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铝</w:t>
            </w:r>
          </w:p>
        </w:tc>
        <w:tc>
          <w:tcPr>
            <w:tcW w:w="118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0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w:t>
            </w:r>
          </w:p>
        </w:tc>
        <w:tc>
          <w:tcPr>
            <w:tcW w:w="100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w:t>
            </w:r>
          </w:p>
        </w:tc>
        <w:tc>
          <w:tcPr>
            <w:tcW w:w="12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w:t>
            </w:r>
          </w:p>
        </w:tc>
        <w:tc>
          <w:tcPr>
            <w:tcW w:w="88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c>
          <w:tcPr>
            <w:tcW w:w="252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454" w:hRule="atLeast"/>
        </w:trPr>
        <w:tc>
          <w:tcPr>
            <w:tcW w:w="72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17</w:t>
            </w:r>
          </w:p>
        </w:tc>
        <w:tc>
          <w:tcPr>
            <w:tcW w:w="146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硅</w:t>
            </w:r>
          </w:p>
        </w:tc>
        <w:tc>
          <w:tcPr>
            <w:tcW w:w="118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0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w:t>
            </w:r>
          </w:p>
        </w:tc>
        <w:tc>
          <w:tcPr>
            <w:tcW w:w="100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w:t>
            </w:r>
          </w:p>
        </w:tc>
        <w:tc>
          <w:tcPr>
            <w:tcW w:w="12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w:t>
            </w:r>
          </w:p>
        </w:tc>
        <w:tc>
          <w:tcPr>
            <w:tcW w:w="88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c>
          <w:tcPr>
            <w:tcW w:w="252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454" w:hRule="atLeast"/>
        </w:trPr>
        <w:tc>
          <w:tcPr>
            <w:tcW w:w="72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18</w:t>
            </w:r>
          </w:p>
        </w:tc>
        <w:tc>
          <w:tcPr>
            <w:tcW w:w="146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钙</w:t>
            </w:r>
          </w:p>
        </w:tc>
        <w:tc>
          <w:tcPr>
            <w:tcW w:w="118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69</w:t>
            </w:r>
          </w:p>
        </w:tc>
        <w:tc>
          <w:tcPr>
            <w:tcW w:w="10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26</w:t>
            </w:r>
          </w:p>
        </w:tc>
        <w:tc>
          <w:tcPr>
            <w:tcW w:w="100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w:t>
            </w:r>
          </w:p>
        </w:tc>
        <w:tc>
          <w:tcPr>
            <w:tcW w:w="12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51</w:t>
            </w:r>
          </w:p>
        </w:tc>
        <w:tc>
          <w:tcPr>
            <w:tcW w:w="88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c>
          <w:tcPr>
            <w:tcW w:w="252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454" w:hRule="atLeast"/>
        </w:trPr>
        <w:tc>
          <w:tcPr>
            <w:tcW w:w="72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19</w:t>
            </w:r>
          </w:p>
        </w:tc>
        <w:tc>
          <w:tcPr>
            <w:tcW w:w="146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锌</w:t>
            </w:r>
          </w:p>
        </w:tc>
        <w:tc>
          <w:tcPr>
            <w:tcW w:w="118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0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00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2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88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c>
          <w:tcPr>
            <w:tcW w:w="252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454" w:hRule="atLeast"/>
        </w:trPr>
        <w:tc>
          <w:tcPr>
            <w:tcW w:w="72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w:t>
            </w:r>
          </w:p>
        </w:tc>
        <w:tc>
          <w:tcPr>
            <w:tcW w:w="146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磷</w:t>
            </w:r>
          </w:p>
        </w:tc>
        <w:tc>
          <w:tcPr>
            <w:tcW w:w="118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0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00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2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88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c>
          <w:tcPr>
            <w:tcW w:w="252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454" w:hRule="atLeast"/>
        </w:trPr>
        <w:tc>
          <w:tcPr>
            <w:tcW w:w="72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21</w:t>
            </w:r>
          </w:p>
        </w:tc>
        <w:tc>
          <w:tcPr>
            <w:tcW w:w="146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净热值</w:t>
            </w:r>
          </w:p>
        </w:tc>
        <w:tc>
          <w:tcPr>
            <w:tcW w:w="118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40.19</w:t>
            </w:r>
          </w:p>
        </w:tc>
        <w:tc>
          <w:tcPr>
            <w:tcW w:w="10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40.34</w:t>
            </w:r>
          </w:p>
        </w:tc>
        <w:tc>
          <w:tcPr>
            <w:tcW w:w="100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40.39</w:t>
            </w:r>
          </w:p>
        </w:tc>
        <w:tc>
          <w:tcPr>
            <w:tcW w:w="12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39.73</w:t>
            </w:r>
          </w:p>
        </w:tc>
        <w:tc>
          <w:tcPr>
            <w:tcW w:w="88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MJ/kg</w:t>
            </w:r>
          </w:p>
        </w:tc>
        <w:tc>
          <w:tcPr>
            <w:tcW w:w="252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384</w:t>
            </w:r>
          </w:p>
        </w:tc>
      </w:tr>
      <w:tr>
        <w:tblPrEx>
          <w:tblCellMar>
            <w:top w:w="0" w:type="dxa"/>
            <w:left w:w="108" w:type="dxa"/>
            <w:bottom w:w="0" w:type="dxa"/>
            <w:right w:w="108" w:type="dxa"/>
          </w:tblCellMar>
        </w:tblPrEx>
        <w:trPr>
          <w:trHeight w:val="482" w:hRule="atLeast"/>
        </w:trPr>
        <w:tc>
          <w:tcPr>
            <w:tcW w:w="72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22</w:t>
            </w:r>
          </w:p>
        </w:tc>
        <w:tc>
          <w:tcPr>
            <w:tcW w:w="146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脂肪酸甲酯</w:t>
            </w:r>
          </w:p>
        </w:tc>
        <w:tc>
          <w:tcPr>
            <w:tcW w:w="118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r>
              <w:rPr>
                <w:rFonts w:hint="eastAsia" w:ascii="宋体" w:hAnsi="宋体" w:eastAsia="宋体" w:cs="宋体"/>
                <w:color w:val="000000"/>
                <w:sz w:val="22"/>
                <w:szCs w:val="22"/>
              </w:rPr>
              <w:t>29.51</w:t>
            </w:r>
          </w:p>
        </w:tc>
        <w:tc>
          <w:tcPr>
            <w:tcW w:w="1022"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r>
              <w:rPr>
                <w:rFonts w:hint="eastAsia" w:ascii="宋体" w:hAnsi="宋体" w:eastAsia="宋体" w:cs="宋体"/>
                <w:color w:val="000000"/>
                <w:sz w:val="22"/>
                <w:szCs w:val="22"/>
              </w:rPr>
              <w:t>29.42</w:t>
            </w:r>
          </w:p>
        </w:tc>
        <w:tc>
          <w:tcPr>
            <w:tcW w:w="1008"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r>
              <w:rPr>
                <w:rFonts w:hint="eastAsia" w:ascii="宋体" w:hAnsi="宋体" w:eastAsia="宋体" w:cs="宋体"/>
                <w:color w:val="000000"/>
                <w:sz w:val="22"/>
                <w:szCs w:val="22"/>
              </w:rPr>
              <w:t>29.78</w:t>
            </w:r>
          </w:p>
        </w:tc>
        <w:tc>
          <w:tcPr>
            <w:tcW w:w="125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r>
              <w:rPr>
                <w:rFonts w:hint="eastAsia" w:ascii="宋体" w:hAnsi="宋体" w:eastAsia="宋体" w:cs="宋体"/>
                <w:color w:val="000000"/>
                <w:sz w:val="22"/>
                <w:szCs w:val="22"/>
              </w:rPr>
              <w:t>29.25</w:t>
            </w:r>
          </w:p>
        </w:tc>
        <w:tc>
          <w:tcPr>
            <w:tcW w:w="88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252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质谱法</w:t>
            </w:r>
          </w:p>
        </w:tc>
      </w:tr>
    </w:tbl>
    <w:p>
      <w:pPr>
        <w:jc w:val="center"/>
        <w:rPr>
          <w:rFonts w:eastAsia="宋体"/>
        </w:rPr>
      </w:pPr>
    </w:p>
    <w:p>
      <w:pPr>
        <w:jc w:val="center"/>
        <w:rPr>
          <w:rFonts w:eastAsia="宋体"/>
        </w:rPr>
      </w:pPr>
    </w:p>
    <w:p>
      <w:pPr>
        <w:jc w:val="center"/>
        <w:rPr>
          <w:rFonts w:eastAsia="宋体"/>
        </w:rPr>
      </w:pPr>
    </w:p>
    <w:p>
      <w:pPr>
        <w:jc w:val="center"/>
        <w:rPr>
          <w:rFonts w:eastAsia="宋体"/>
        </w:rPr>
      </w:pPr>
    </w:p>
    <w:p>
      <w:pPr>
        <w:jc w:val="center"/>
        <w:rPr>
          <w:rFonts w:eastAsia="宋体"/>
        </w:rPr>
      </w:pPr>
    </w:p>
    <w:p>
      <w:pPr>
        <w:jc w:val="center"/>
        <w:rPr>
          <w:rFonts w:eastAsia="宋体"/>
        </w:rPr>
      </w:pPr>
    </w:p>
    <w:p>
      <w:pPr>
        <w:jc w:val="center"/>
        <w:rPr>
          <w:rFonts w:eastAsia="宋体"/>
        </w:rPr>
      </w:pPr>
    </w:p>
    <w:p>
      <w:pPr>
        <w:jc w:val="center"/>
        <w:rPr>
          <w:rFonts w:eastAsia="宋体"/>
        </w:rPr>
      </w:pPr>
    </w:p>
    <w:p>
      <w:pPr>
        <w:jc w:val="center"/>
        <w:rPr>
          <w:rFonts w:eastAsia="宋体"/>
        </w:rPr>
      </w:pPr>
    </w:p>
    <w:p>
      <w:pPr>
        <w:jc w:val="center"/>
        <w:rPr>
          <w:rFonts w:eastAsia="宋体"/>
        </w:rPr>
      </w:pPr>
      <w:r>
        <w:rPr>
          <w:rFonts w:hint="eastAsia" w:eastAsia="宋体"/>
        </w:rPr>
        <w:t>表7  B50生物燃料油结果汇总</w:t>
      </w:r>
    </w:p>
    <w:tbl>
      <w:tblPr>
        <w:tblStyle w:val="4"/>
        <w:tblW w:w="10345" w:type="dxa"/>
        <w:tblInd w:w="-566" w:type="dxa"/>
        <w:tblLayout w:type="fixed"/>
        <w:tblCellMar>
          <w:top w:w="0" w:type="dxa"/>
          <w:left w:w="108" w:type="dxa"/>
          <w:bottom w:w="0" w:type="dxa"/>
          <w:right w:w="108" w:type="dxa"/>
        </w:tblCellMar>
      </w:tblPr>
      <w:tblGrid>
        <w:gridCol w:w="889"/>
        <w:gridCol w:w="1570"/>
        <w:gridCol w:w="1111"/>
        <w:gridCol w:w="1067"/>
        <w:gridCol w:w="1111"/>
        <w:gridCol w:w="1305"/>
        <w:gridCol w:w="1050"/>
        <w:gridCol w:w="2242"/>
      </w:tblGrid>
      <w:tr>
        <w:tblPrEx>
          <w:tblCellMar>
            <w:top w:w="0" w:type="dxa"/>
            <w:left w:w="108" w:type="dxa"/>
            <w:bottom w:w="0" w:type="dxa"/>
            <w:right w:w="108" w:type="dxa"/>
          </w:tblCellMar>
        </w:tblPrEx>
        <w:trPr>
          <w:trHeight w:val="450" w:hRule="atLeast"/>
        </w:trPr>
        <w:tc>
          <w:tcPr>
            <w:tcW w:w="10345" w:type="dxa"/>
            <w:gridSpan w:val="8"/>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生物燃料油结果汇总(B50)</w:t>
            </w:r>
          </w:p>
        </w:tc>
      </w:tr>
      <w:tr>
        <w:tblPrEx>
          <w:tblCellMar>
            <w:top w:w="0" w:type="dxa"/>
            <w:left w:w="108" w:type="dxa"/>
            <w:bottom w:w="0" w:type="dxa"/>
            <w:right w:w="108" w:type="dxa"/>
          </w:tblCellMar>
        </w:tblPrEx>
        <w:trPr>
          <w:trHeight w:val="450" w:hRule="atLeast"/>
        </w:trPr>
        <w:tc>
          <w:tcPr>
            <w:tcW w:w="889"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序号</w:t>
            </w:r>
          </w:p>
        </w:tc>
        <w:tc>
          <w:tcPr>
            <w:tcW w:w="1570"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检测项目</w:t>
            </w:r>
          </w:p>
        </w:tc>
        <w:tc>
          <w:tcPr>
            <w:tcW w:w="4594" w:type="dxa"/>
            <w:gridSpan w:val="4"/>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结果</w:t>
            </w:r>
          </w:p>
        </w:tc>
        <w:tc>
          <w:tcPr>
            <w:tcW w:w="1050"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单位</w:t>
            </w:r>
          </w:p>
        </w:tc>
        <w:tc>
          <w:tcPr>
            <w:tcW w:w="2242"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检测方法</w:t>
            </w:r>
          </w:p>
        </w:tc>
      </w:tr>
      <w:tr>
        <w:tblPrEx>
          <w:tblCellMar>
            <w:top w:w="0" w:type="dxa"/>
            <w:left w:w="108" w:type="dxa"/>
            <w:bottom w:w="0" w:type="dxa"/>
            <w:right w:w="108" w:type="dxa"/>
          </w:tblCellMar>
        </w:tblPrEx>
        <w:trPr>
          <w:trHeight w:val="1565" w:hRule="atLeast"/>
        </w:trPr>
        <w:tc>
          <w:tcPr>
            <w:tcW w:w="88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b/>
                <w:bCs/>
                <w:color w:val="000000"/>
                <w:sz w:val="22"/>
                <w:szCs w:val="22"/>
              </w:rPr>
            </w:pPr>
          </w:p>
        </w:tc>
        <w:tc>
          <w:tcPr>
            <w:tcW w:w="157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b/>
                <w:bCs/>
                <w:color w:val="000000"/>
                <w:sz w:val="22"/>
                <w:szCs w:val="22"/>
              </w:rPr>
            </w:pPr>
          </w:p>
        </w:tc>
        <w:tc>
          <w:tcPr>
            <w:tcW w:w="111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中海油+BD100  KY 2-5</w:t>
            </w:r>
          </w:p>
        </w:tc>
        <w:tc>
          <w:tcPr>
            <w:tcW w:w="106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中石油+BD100  KY 3-5</w:t>
            </w:r>
          </w:p>
        </w:tc>
        <w:tc>
          <w:tcPr>
            <w:tcW w:w="111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中石化+BD100  KY 4-5</w:t>
            </w:r>
          </w:p>
        </w:tc>
        <w:tc>
          <w:tcPr>
            <w:tcW w:w="13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民营+BD100  KY 5-5</w:t>
            </w:r>
          </w:p>
        </w:tc>
        <w:tc>
          <w:tcPr>
            <w:tcW w:w="105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b/>
                <w:bCs/>
                <w:color w:val="000000"/>
                <w:sz w:val="22"/>
                <w:szCs w:val="22"/>
              </w:rPr>
            </w:pPr>
          </w:p>
        </w:tc>
        <w:tc>
          <w:tcPr>
            <w:tcW w:w="2242"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b/>
                <w:bCs/>
                <w:color w:val="000000"/>
                <w:sz w:val="22"/>
                <w:szCs w:val="22"/>
              </w:rPr>
            </w:pPr>
          </w:p>
        </w:tc>
      </w:tr>
      <w:tr>
        <w:tblPrEx>
          <w:tblCellMar>
            <w:top w:w="0" w:type="dxa"/>
            <w:left w:w="108" w:type="dxa"/>
            <w:bottom w:w="0" w:type="dxa"/>
            <w:right w:w="108" w:type="dxa"/>
          </w:tblCellMar>
        </w:tblPrEx>
        <w:trPr>
          <w:trHeight w:val="450" w:hRule="atLeast"/>
        </w:trPr>
        <w:tc>
          <w:tcPr>
            <w:tcW w:w="88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5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运动粘度50</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13.07</w:t>
            </w:r>
          </w:p>
        </w:tc>
        <w:tc>
          <w:tcPr>
            <w:tcW w:w="106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13.11</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13.12</w:t>
            </w:r>
          </w:p>
        </w:tc>
        <w:tc>
          <w:tcPr>
            <w:tcW w:w="130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13.33</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mm</w:t>
            </w:r>
            <w:r>
              <w:rPr>
                <w:rFonts w:hint="eastAsia" w:ascii="宋体" w:hAnsi="宋体" w:eastAsia="宋体" w:cs="宋体"/>
                <w:color w:val="000000"/>
                <w:kern w:val="0"/>
                <w:sz w:val="22"/>
                <w:szCs w:val="22"/>
                <w:vertAlign w:val="superscript"/>
                <w:lang w:bidi="ar"/>
              </w:rPr>
              <w:t>2</w:t>
            </w:r>
            <w:r>
              <w:rPr>
                <w:rFonts w:hint="eastAsia" w:ascii="宋体" w:hAnsi="宋体" w:eastAsia="宋体" w:cs="宋体"/>
                <w:color w:val="000000"/>
                <w:kern w:val="0"/>
                <w:sz w:val="22"/>
                <w:szCs w:val="22"/>
                <w:lang w:bidi="ar"/>
              </w:rPr>
              <w:t>/s</w:t>
            </w:r>
          </w:p>
        </w:tc>
        <w:tc>
          <w:tcPr>
            <w:tcW w:w="224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30515</w:t>
            </w:r>
          </w:p>
        </w:tc>
      </w:tr>
      <w:tr>
        <w:tblPrEx>
          <w:tblCellMar>
            <w:top w:w="0" w:type="dxa"/>
            <w:left w:w="108" w:type="dxa"/>
            <w:bottom w:w="0" w:type="dxa"/>
            <w:right w:w="108" w:type="dxa"/>
          </w:tblCellMar>
        </w:tblPrEx>
        <w:trPr>
          <w:trHeight w:val="450" w:hRule="atLeast"/>
        </w:trPr>
        <w:tc>
          <w:tcPr>
            <w:tcW w:w="88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w:t>
            </w:r>
          </w:p>
        </w:tc>
        <w:tc>
          <w:tcPr>
            <w:tcW w:w="15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密度15</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914.3 </w:t>
            </w:r>
          </w:p>
        </w:tc>
        <w:tc>
          <w:tcPr>
            <w:tcW w:w="106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911.4 </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909.3 </w:t>
            </w:r>
          </w:p>
        </w:tc>
        <w:tc>
          <w:tcPr>
            <w:tcW w:w="130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930.6 </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kg/m</w:t>
            </w:r>
            <w:r>
              <w:rPr>
                <w:rFonts w:hint="eastAsia" w:ascii="宋体" w:hAnsi="宋体" w:eastAsia="宋体" w:cs="宋体"/>
                <w:color w:val="000000"/>
                <w:kern w:val="0"/>
                <w:sz w:val="22"/>
                <w:szCs w:val="22"/>
                <w:vertAlign w:val="superscript"/>
                <w:lang w:bidi="ar"/>
              </w:rPr>
              <w:t>3</w:t>
            </w:r>
          </w:p>
        </w:tc>
        <w:tc>
          <w:tcPr>
            <w:tcW w:w="224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SH/T 0604</w:t>
            </w:r>
          </w:p>
        </w:tc>
      </w:tr>
      <w:tr>
        <w:tblPrEx>
          <w:tblCellMar>
            <w:top w:w="0" w:type="dxa"/>
            <w:left w:w="108" w:type="dxa"/>
            <w:bottom w:w="0" w:type="dxa"/>
            <w:right w:w="108" w:type="dxa"/>
          </w:tblCellMar>
        </w:tblPrEx>
        <w:trPr>
          <w:trHeight w:val="450" w:hRule="atLeast"/>
        </w:trPr>
        <w:tc>
          <w:tcPr>
            <w:tcW w:w="88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w:t>
            </w:r>
          </w:p>
        </w:tc>
        <w:tc>
          <w:tcPr>
            <w:tcW w:w="15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密度20</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910.8 </w:t>
            </w:r>
          </w:p>
        </w:tc>
        <w:tc>
          <w:tcPr>
            <w:tcW w:w="106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907.9 </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905.8 </w:t>
            </w:r>
          </w:p>
        </w:tc>
        <w:tc>
          <w:tcPr>
            <w:tcW w:w="130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927.2 </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kg/m</w:t>
            </w:r>
            <w:r>
              <w:rPr>
                <w:rFonts w:hint="eastAsia" w:ascii="宋体" w:hAnsi="宋体" w:eastAsia="宋体" w:cs="宋体"/>
                <w:color w:val="000000"/>
                <w:kern w:val="0"/>
                <w:sz w:val="22"/>
                <w:szCs w:val="22"/>
                <w:vertAlign w:val="superscript"/>
                <w:lang w:bidi="ar"/>
              </w:rPr>
              <w:t>3</w:t>
            </w:r>
          </w:p>
        </w:tc>
        <w:tc>
          <w:tcPr>
            <w:tcW w:w="224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SH/T 0604</w:t>
            </w:r>
          </w:p>
        </w:tc>
      </w:tr>
      <w:tr>
        <w:tblPrEx>
          <w:tblCellMar>
            <w:top w:w="0" w:type="dxa"/>
            <w:left w:w="108" w:type="dxa"/>
            <w:bottom w:w="0" w:type="dxa"/>
            <w:right w:w="108" w:type="dxa"/>
          </w:tblCellMar>
        </w:tblPrEx>
        <w:trPr>
          <w:trHeight w:val="632" w:hRule="atLeast"/>
        </w:trPr>
        <w:tc>
          <w:tcPr>
            <w:tcW w:w="88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w:t>
            </w:r>
          </w:p>
        </w:tc>
        <w:tc>
          <w:tcPr>
            <w:tcW w:w="15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碳芳香指数CCAI</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825</w:t>
            </w:r>
          </w:p>
        </w:tc>
        <w:tc>
          <w:tcPr>
            <w:tcW w:w="106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822</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820</w:t>
            </w:r>
          </w:p>
        </w:tc>
        <w:tc>
          <w:tcPr>
            <w:tcW w:w="130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841</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224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 17411-2015附录F</w:t>
            </w:r>
          </w:p>
        </w:tc>
      </w:tr>
      <w:tr>
        <w:tblPrEx>
          <w:tblCellMar>
            <w:top w:w="0" w:type="dxa"/>
            <w:left w:w="108" w:type="dxa"/>
            <w:bottom w:w="0" w:type="dxa"/>
            <w:right w:w="108" w:type="dxa"/>
          </w:tblCellMar>
        </w:tblPrEx>
        <w:trPr>
          <w:trHeight w:val="450" w:hRule="atLeast"/>
        </w:trPr>
        <w:tc>
          <w:tcPr>
            <w:tcW w:w="88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w:t>
            </w:r>
          </w:p>
        </w:tc>
        <w:tc>
          <w:tcPr>
            <w:tcW w:w="15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硫含量</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0.208 </w:t>
            </w:r>
          </w:p>
        </w:tc>
        <w:tc>
          <w:tcPr>
            <w:tcW w:w="106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0.229 </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0.201 </w:t>
            </w:r>
          </w:p>
        </w:tc>
        <w:tc>
          <w:tcPr>
            <w:tcW w:w="130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0.215 </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224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17040</w:t>
            </w:r>
          </w:p>
        </w:tc>
      </w:tr>
      <w:tr>
        <w:tblPrEx>
          <w:tblCellMar>
            <w:top w:w="0" w:type="dxa"/>
            <w:left w:w="108" w:type="dxa"/>
            <w:bottom w:w="0" w:type="dxa"/>
            <w:right w:w="108" w:type="dxa"/>
          </w:tblCellMar>
        </w:tblPrEx>
        <w:trPr>
          <w:trHeight w:val="450" w:hRule="atLeast"/>
        </w:trPr>
        <w:tc>
          <w:tcPr>
            <w:tcW w:w="88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w:t>
            </w:r>
          </w:p>
        </w:tc>
        <w:tc>
          <w:tcPr>
            <w:tcW w:w="15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闪点（闭口）</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127.0 </w:t>
            </w:r>
          </w:p>
        </w:tc>
        <w:tc>
          <w:tcPr>
            <w:tcW w:w="106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109.0 </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109.0 </w:t>
            </w:r>
          </w:p>
        </w:tc>
        <w:tc>
          <w:tcPr>
            <w:tcW w:w="130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117.0 </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224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261</w:t>
            </w:r>
          </w:p>
        </w:tc>
      </w:tr>
      <w:tr>
        <w:tblPrEx>
          <w:tblCellMar>
            <w:top w:w="0" w:type="dxa"/>
            <w:left w:w="108" w:type="dxa"/>
            <w:bottom w:w="0" w:type="dxa"/>
            <w:right w:w="108" w:type="dxa"/>
          </w:tblCellMar>
        </w:tblPrEx>
        <w:trPr>
          <w:trHeight w:val="632" w:hRule="atLeast"/>
        </w:trPr>
        <w:tc>
          <w:tcPr>
            <w:tcW w:w="88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w:t>
            </w:r>
          </w:p>
        </w:tc>
        <w:tc>
          <w:tcPr>
            <w:tcW w:w="15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硫化氢</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＜0.60</w:t>
            </w:r>
          </w:p>
        </w:tc>
        <w:tc>
          <w:tcPr>
            <w:tcW w:w="106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＜0.60</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＜0.60</w:t>
            </w:r>
          </w:p>
        </w:tc>
        <w:tc>
          <w:tcPr>
            <w:tcW w:w="130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＜0.60</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mg/kg</w:t>
            </w:r>
          </w:p>
        </w:tc>
        <w:tc>
          <w:tcPr>
            <w:tcW w:w="224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IP 570</w:t>
            </w:r>
          </w:p>
        </w:tc>
      </w:tr>
      <w:tr>
        <w:tblPrEx>
          <w:tblCellMar>
            <w:top w:w="0" w:type="dxa"/>
            <w:left w:w="108" w:type="dxa"/>
            <w:bottom w:w="0" w:type="dxa"/>
            <w:right w:w="108" w:type="dxa"/>
          </w:tblCellMar>
        </w:tblPrEx>
        <w:trPr>
          <w:trHeight w:val="632" w:hRule="atLeast"/>
        </w:trPr>
        <w:tc>
          <w:tcPr>
            <w:tcW w:w="88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w:t>
            </w:r>
          </w:p>
        </w:tc>
        <w:tc>
          <w:tcPr>
            <w:tcW w:w="15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酸值</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0.74 </w:t>
            </w:r>
          </w:p>
        </w:tc>
        <w:tc>
          <w:tcPr>
            <w:tcW w:w="106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0.70 </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0.29 </w:t>
            </w:r>
          </w:p>
        </w:tc>
        <w:tc>
          <w:tcPr>
            <w:tcW w:w="130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0.88 </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mgKOH/g</w:t>
            </w:r>
          </w:p>
        </w:tc>
        <w:tc>
          <w:tcPr>
            <w:tcW w:w="224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7304</w:t>
            </w:r>
          </w:p>
        </w:tc>
      </w:tr>
      <w:tr>
        <w:tblPrEx>
          <w:tblCellMar>
            <w:top w:w="0" w:type="dxa"/>
            <w:left w:w="108" w:type="dxa"/>
            <w:bottom w:w="0" w:type="dxa"/>
            <w:right w:w="108" w:type="dxa"/>
          </w:tblCellMar>
        </w:tblPrEx>
        <w:trPr>
          <w:trHeight w:val="632" w:hRule="atLeast"/>
        </w:trPr>
        <w:tc>
          <w:tcPr>
            <w:tcW w:w="88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w:t>
            </w:r>
          </w:p>
        </w:tc>
        <w:tc>
          <w:tcPr>
            <w:tcW w:w="15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总沉淀物</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＜0.01</w:t>
            </w:r>
          </w:p>
        </w:tc>
        <w:tc>
          <w:tcPr>
            <w:tcW w:w="106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＜0.01</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＜0.01</w:t>
            </w:r>
          </w:p>
        </w:tc>
        <w:tc>
          <w:tcPr>
            <w:tcW w:w="130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＜0.01</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224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SH/T 0702</w:t>
            </w:r>
          </w:p>
        </w:tc>
      </w:tr>
      <w:tr>
        <w:tblPrEx>
          <w:tblCellMar>
            <w:top w:w="0" w:type="dxa"/>
            <w:left w:w="108" w:type="dxa"/>
            <w:bottom w:w="0" w:type="dxa"/>
            <w:right w:w="108" w:type="dxa"/>
          </w:tblCellMar>
        </w:tblPrEx>
        <w:trPr>
          <w:trHeight w:val="450" w:hRule="atLeast"/>
        </w:trPr>
        <w:tc>
          <w:tcPr>
            <w:tcW w:w="88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w:t>
            </w:r>
          </w:p>
        </w:tc>
        <w:tc>
          <w:tcPr>
            <w:tcW w:w="15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残炭</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3.6</w:t>
            </w:r>
          </w:p>
        </w:tc>
        <w:tc>
          <w:tcPr>
            <w:tcW w:w="106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3.86</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4.07</w:t>
            </w:r>
          </w:p>
        </w:tc>
        <w:tc>
          <w:tcPr>
            <w:tcW w:w="130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4.34</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224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17144</w:t>
            </w:r>
          </w:p>
        </w:tc>
      </w:tr>
      <w:tr>
        <w:tblPrEx>
          <w:tblCellMar>
            <w:top w:w="0" w:type="dxa"/>
            <w:left w:w="108" w:type="dxa"/>
            <w:bottom w:w="0" w:type="dxa"/>
            <w:right w:w="108" w:type="dxa"/>
          </w:tblCellMar>
        </w:tblPrEx>
        <w:trPr>
          <w:trHeight w:val="450" w:hRule="atLeast"/>
        </w:trPr>
        <w:tc>
          <w:tcPr>
            <w:tcW w:w="88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11</w:t>
            </w:r>
          </w:p>
        </w:tc>
        <w:tc>
          <w:tcPr>
            <w:tcW w:w="15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倾点</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w:t>
            </w:r>
          </w:p>
        </w:tc>
        <w:tc>
          <w:tcPr>
            <w:tcW w:w="106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6/3</w:t>
            </w:r>
          </w:p>
        </w:tc>
        <w:tc>
          <w:tcPr>
            <w:tcW w:w="130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224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3535</w:t>
            </w:r>
          </w:p>
        </w:tc>
      </w:tr>
      <w:tr>
        <w:tblPrEx>
          <w:tblCellMar>
            <w:top w:w="0" w:type="dxa"/>
            <w:left w:w="108" w:type="dxa"/>
            <w:bottom w:w="0" w:type="dxa"/>
            <w:right w:w="108" w:type="dxa"/>
          </w:tblCellMar>
        </w:tblPrEx>
        <w:trPr>
          <w:trHeight w:val="450" w:hRule="atLeast"/>
        </w:trPr>
        <w:tc>
          <w:tcPr>
            <w:tcW w:w="88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12</w:t>
            </w:r>
          </w:p>
        </w:tc>
        <w:tc>
          <w:tcPr>
            <w:tcW w:w="15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水分</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0.19</w:t>
            </w:r>
          </w:p>
        </w:tc>
        <w:tc>
          <w:tcPr>
            <w:tcW w:w="106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0.1</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0.1</w:t>
            </w:r>
          </w:p>
        </w:tc>
        <w:tc>
          <w:tcPr>
            <w:tcW w:w="130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0.09</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224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11135</w:t>
            </w:r>
          </w:p>
        </w:tc>
      </w:tr>
      <w:tr>
        <w:tblPrEx>
          <w:tblCellMar>
            <w:top w:w="0" w:type="dxa"/>
            <w:left w:w="108" w:type="dxa"/>
            <w:bottom w:w="0" w:type="dxa"/>
            <w:right w:w="108" w:type="dxa"/>
          </w:tblCellMar>
        </w:tblPrEx>
        <w:trPr>
          <w:trHeight w:val="450" w:hRule="atLeast"/>
        </w:trPr>
        <w:tc>
          <w:tcPr>
            <w:tcW w:w="88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13</w:t>
            </w:r>
          </w:p>
        </w:tc>
        <w:tc>
          <w:tcPr>
            <w:tcW w:w="15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灰分</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0.023</w:t>
            </w:r>
          </w:p>
        </w:tc>
        <w:tc>
          <w:tcPr>
            <w:tcW w:w="106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0.014</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0.004</w:t>
            </w:r>
          </w:p>
        </w:tc>
        <w:tc>
          <w:tcPr>
            <w:tcW w:w="130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0.014</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224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508</w:t>
            </w:r>
          </w:p>
        </w:tc>
      </w:tr>
      <w:tr>
        <w:tblPrEx>
          <w:tblCellMar>
            <w:top w:w="0" w:type="dxa"/>
            <w:left w:w="108" w:type="dxa"/>
            <w:bottom w:w="0" w:type="dxa"/>
            <w:right w:w="108" w:type="dxa"/>
          </w:tblCellMar>
        </w:tblPrEx>
        <w:trPr>
          <w:trHeight w:val="450" w:hRule="atLeast"/>
        </w:trPr>
        <w:tc>
          <w:tcPr>
            <w:tcW w:w="88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14</w:t>
            </w:r>
          </w:p>
        </w:tc>
        <w:tc>
          <w:tcPr>
            <w:tcW w:w="15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钒</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w:t>
            </w:r>
          </w:p>
        </w:tc>
        <w:tc>
          <w:tcPr>
            <w:tcW w:w="106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w:t>
            </w:r>
          </w:p>
        </w:tc>
        <w:tc>
          <w:tcPr>
            <w:tcW w:w="130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w:t>
            </w:r>
          </w:p>
        </w:tc>
        <w:tc>
          <w:tcPr>
            <w:tcW w:w="1050"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mg/kg</w:t>
            </w:r>
          </w:p>
        </w:tc>
        <w:tc>
          <w:tcPr>
            <w:tcW w:w="2242"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IP 501</w:t>
            </w:r>
          </w:p>
        </w:tc>
      </w:tr>
      <w:tr>
        <w:tblPrEx>
          <w:tblCellMar>
            <w:top w:w="0" w:type="dxa"/>
            <w:left w:w="108" w:type="dxa"/>
            <w:bottom w:w="0" w:type="dxa"/>
            <w:right w:w="108" w:type="dxa"/>
          </w:tblCellMar>
        </w:tblPrEx>
        <w:trPr>
          <w:trHeight w:val="450" w:hRule="atLeast"/>
        </w:trPr>
        <w:tc>
          <w:tcPr>
            <w:tcW w:w="88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15</w:t>
            </w:r>
          </w:p>
        </w:tc>
        <w:tc>
          <w:tcPr>
            <w:tcW w:w="15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钠</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06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30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w:t>
            </w:r>
          </w:p>
        </w:tc>
        <w:tc>
          <w:tcPr>
            <w:tcW w:w="105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c>
          <w:tcPr>
            <w:tcW w:w="2242"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450" w:hRule="atLeast"/>
        </w:trPr>
        <w:tc>
          <w:tcPr>
            <w:tcW w:w="88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16</w:t>
            </w:r>
          </w:p>
        </w:tc>
        <w:tc>
          <w:tcPr>
            <w:tcW w:w="15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铝</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06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w:t>
            </w:r>
          </w:p>
        </w:tc>
        <w:tc>
          <w:tcPr>
            <w:tcW w:w="130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05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c>
          <w:tcPr>
            <w:tcW w:w="2242"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450" w:hRule="atLeast"/>
        </w:trPr>
        <w:tc>
          <w:tcPr>
            <w:tcW w:w="88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17</w:t>
            </w:r>
          </w:p>
        </w:tc>
        <w:tc>
          <w:tcPr>
            <w:tcW w:w="15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硅</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06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w:t>
            </w:r>
          </w:p>
        </w:tc>
        <w:tc>
          <w:tcPr>
            <w:tcW w:w="130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05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c>
          <w:tcPr>
            <w:tcW w:w="2242"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450" w:hRule="atLeast"/>
        </w:trPr>
        <w:tc>
          <w:tcPr>
            <w:tcW w:w="88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18</w:t>
            </w:r>
          </w:p>
        </w:tc>
        <w:tc>
          <w:tcPr>
            <w:tcW w:w="15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钙</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48</w:t>
            </w:r>
          </w:p>
        </w:tc>
        <w:tc>
          <w:tcPr>
            <w:tcW w:w="106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19</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w:t>
            </w:r>
          </w:p>
        </w:tc>
        <w:tc>
          <w:tcPr>
            <w:tcW w:w="130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36</w:t>
            </w:r>
          </w:p>
        </w:tc>
        <w:tc>
          <w:tcPr>
            <w:tcW w:w="105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c>
          <w:tcPr>
            <w:tcW w:w="2242"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450" w:hRule="atLeast"/>
        </w:trPr>
        <w:tc>
          <w:tcPr>
            <w:tcW w:w="88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19</w:t>
            </w:r>
          </w:p>
        </w:tc>
        <w:tc>
          <w:tcPr>
            <w:tcW w:w="15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锌</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06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30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05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c>
          <w:tcPr>
            <w:tcW w:w="2242"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450" w:hRule="atLeast"/>
        </w:trPr>
        <w:tc>
          <w:tcPr>
            <w:tcW w:w="88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w:t>
            </w:r>
          </w:p>
        </w:tc>
        <w:tc>
          <w:tcPr>
            <w:tcW w:w="15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磷</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06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30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05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c>
          <w:tcPr>
            <w:tcW w:w="2242"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450" w:hRule="atLeast"/>
        </w:trPr>
        <w:tc>
          <w:tcPr>
            <w:tcW w:w="88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21</w:t>
            </w:r>
          </w:p>
        </w:tc>
        <w:tc>
          <w:tcPr>
            <w:tcW w:w="15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净热值</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39.65</w:t>
            </w:r>
          </w:p>
        </w:tc>
        <w:tc>
          <w:tcPr>
            <w:tcW w:w="106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39.71</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39.75</w:t>
            </w:r>
          </w:p>
        </w:tc>
        <w:tc>
          <w:tcPr>
            <w:tcW w:w="130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39.29</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MJ/kg</w:t>
            </w:r>
          </w:p>
        </w:tc>
        <w:tc>
          <w:tcPr>
            <w:tcW w:w="224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384</w:t>
            </w:r>
          </w:p>
        </w:tc>
      </w:tr>
      <w:tr>
        <w:tblPrEx>
          <w:tblCellMar>
            <w:top w:w="0" w:type="dxa"/>
            <w:left w:w="108" w:type="dxa"/>
            <w:bottom w:w="0" w:type="dxa"/>
            <w:right w:w="108" w:type="dxa"/>
          </w:tblCellMar>
        </w:tblPrEx>
        <w:trPr>
          <w:trHeight w:val="478" w:hRule="atLeast"/>
        </w:trPr>
        <w:tc>
          <w:tcPr>
            <w:tcW w:w="88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22</w:t>
            </w:r>
          </w:p>
        </w:tc>
        <w:tc>
          <w:tcPr>
            <w:tcW w:w="15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脂肪酸甲酯</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r>
              <w:rPr>
                <w:rFonts w:hint="eastAsia" w:ascii="宋体" w:hAnsi="宋体" w:eastAsia="宋体" w:cs="宋体"/>
                <w:color w:val="000000"/>
                <w:sz w:val="22"/>
                <w:szCs w:val="22"/>
              </w:rPr>
              <w:t>48.98</w:t>
            </w:r>
          </w:p>
        </w:tc>
        <w:tc>
          <w:tcPr>
            <w:tcW w:w="1067"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r>
              <w:rPr>
                <w:rFonts w:hint="eastAsia" w:ascii="宋体" w:hAnsi="宋体" w:eastAsia="宋体" w:cs="宋体"/>
                <w:color w:val="000000"/>
                <w:sz w:val="22"/>
                <w:szCs w:val="22"/>
              </w:rPr>
              <w:t>49.24</w:t>
            </w:r>
          </w:p>
        </w:tc>
        <w:tc>
          <w:tcPr>
            <w:tcW w:w="111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r>
              <w:rPr>
                <w:rFonts w:hint="eastAsia" w:ascii="宋体" w:hAnsi="宋体" w:eastAsia="宋体" w:cs="宋体"/>
                <w:color w:val="000000"/>
                <w:sz w:val="22"/>
                <w:szCs w:val="22"/>
              </w:rPr>
              <w:t>49.12</w:t>
            </w:r>
          </w:p>
        </w:tc>
        <w:tc>
          <w:tcPr>
            <w:tcW w:w="130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2"/>
                <w:szCs w:val="22"/>
              </w:rPr>
            </w:pPr>
            <w:r>
              <w:rPr>
                <w:rFonts w:hint="eastAsia" w:ascii="宋体" w:hAnsi="宋体" w:eastAsia="宋体" w:cs="宋体"/>
                <w:color w:val="000000"/>
                <w:sz w:val="22"/>
                <w:szCs w:val="22"/>
              </w:rPr>
              <w:t>48.92</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224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质谱法</w:t>
            </w:r>
          </w:p>
        </w:tc>
      </w:tr>
    </w:tbl>
    <w:p>
      <w:pPr>
        <w:spacing w:line="360" w:lineRule="auto"/>
        <w:ind w:firstLine="420" w:firstLineChars="200"/>
        <w:rPr>
          <w:rFonts w:eastAsia="宋体"/>
        </w:rPr>
      </w:pPr>
      <w:r>
        <w:rPr>
          <w:rFonts w:hint="eastAsia" w:eastAsia="宋体"/>
        </w:rPr>
        <w:t>本实验室在做常规试验的同时，也进行了比对试验。选取的比对试验样品为台架试验用一系列样品，包括低硫燃料油，BD100，B15，B24，B30，B50。试验数据结果如下（表8）：</w:t>
      </w:r>
    </w:p>
    <w:p>
      <w:pPr>
        <w:ind w:firstLine="420" w:firstLineChars="200"/>
        <w:jc w:val="center"/>
        <w:rPr>
          <w:rFonts w:eastAsia="宋体"/>
        </w:rPr>
      </w:pPr>
    </w:p>
    <w:p>
      <w:pPr>
        <w:ind w:firstLine="420" w:firstLineChars="200"/>
        <w:jc w:val="center"/>
        <w:rPr>
          <w:rFonts w:eastAsia="宋体"/>
        </w:rPr>
      </w:pPr>
      <w:r>
        <w:rPr>
          <w:rFonts w:hint="eastAsia" w:eastAsia="宋体"/>
        </w:rPr>
        <w:t>表8  台架试验样品比对试样结果汇总</w:t>
      </w:r>
    </w:p>
    <w:tbl>
      <w:tblPr>
        <w:tblStyle w:val="4"/>
        <w:tblW w:w="10569" w:type="dxa"/>
        <w:tblInd w:w="-718" w:type="dxa"/>
        <w:tblLayout w:type="fixed"/>
        <w:tblCellMar>
          <w:top w:w="0" w:type="dxa"/>
          <w:left w:w="108" w:type="dxa"/>
          <w:bottom w:w="0" w:type="dxa"/>
          <w:right w:w="108" w:type="dxa"/>
        </w:tblCellMar>
      </w:tblPr>
      <w:tblGrid>
        <w:gridCol w:w="2753"/>
        <w:gridCol w:w="1087"/>
        <w:gridCol w:w="984"/>
        <w:gridCol w:w="815"/>
        <w:gridCol w:w="799"/>
        <w:gridCol w:w="776"/>
        <w:gridCol w:w="787"/>
        <w:gridCol w:w="893"/>
        <w:gridCol w:w="1675"/>
      </w:tblGrid>
      <w:tr>
        <w:tblPrEx>
          <w:tblCellMar>
            <w:top w:w="0" w:type="dxa"/>
            <w:left w:w="108" w:type="dxa"/>
            <w:bottom w:w="0" w:type="dxa"/>
            <w:right w:w="108" w:type="dxa"/>
          </w:tblCellMar>
        </w:tblPrEx>
        <w:trPr>
          <w:trHeight w:val="635" w:hRule="atLeast"/>
        </w:trPr>
        <w:tc>
          <w:tcPr>
            <w:tcW w:w="2753" w:type="dxa"/>
            <w:vMerge w:val="restart"/>
            <w:tcBorders>
              <w:top w:val="single" w:color="000000" w:sz="8" w:space="0"/>
              <w:left w:val="single" w:color="000000" w:sz="8"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指标</w:t>
            </w:r>
          </w:p>
        </w:tc>
        <w:tc>
          <w:tcPr>
            <w:tcW w:w="1087" w:type="dxa"/>
            <w:tcBorders>
              <w:top w:val="single" w:color="000000" w:sz="8"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RMB180</w:t>
            </w:r>
          </w:p>
        </w:tc>
        <w:tc>
          <w:tcPr>
            <w:tcW w:w="984" w:type="dxa"/>
            <w:tcBorders>
              <w:top w:val="single" w:color="000000" w:sz="8"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生物燃料</w:t>
            </w:r>
          </w:p>
        </w:tc>
        <w:tc>
          <w:tcPr>
            <w:tcW w:w="815" w:type="dxa"/>
            <w:tcBorders>
              <w:top w:val="single" w:color="000000" w:sz="8"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生物燃料</w:t>
            </w:r>
          </w:p>
        </w:tc>
        <w:tc>
          <w:tcPr>
            <w:tcW w:w="799" w:type="dxa"/>
            <w:tcBorders>
              <w:top w:val="single" w:color="000000" w:sz="8"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生物燃料</w:t>
            </w:r>
          </w:p>
        </w:tc>
        <w:tc>
          <w:tcPr>
            <w:tcW w:w="776" w:type="dxa"/>
            <w:tcBorders>
              <w:top w:val="single" w:color="000000" w:sz="8"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生物燃料</w:t>
            </w:r>
          </w:p>
        </w:tc>
        <w:tc>
          <w:tcPr>
            <w:tcW w:w="787" w:type="dxa"/>
            <w:tcBorders>
              <w:top w:val="single" w:color="000000" w:sz="8"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生物燃料</w:t>
            </w:r>
          </w:p>
        </w:tc>
        <w:tc>
          <w:tcPr>
            <w:tcW w:w="893" w:type="dxa"/>
            <w:tcBorders>
              <w:top w:val="single" w:color="000000" w:sz="8"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生物柴油</w:t>
            </w:r>
          </w:p>
        </w:tc>
        <w:tc>
          <w:tcPr>
            <w:tcW w:w="1675" w:type="dxa"/>
            <w:vMerge w:val="restart"/>
            <w:tcBorders>
              <w:top w:val="single" w:color="000000" w:sz="8"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检测方法</w:t>
            </w:r>
          </w:p>
        </w:tc>
      </w:tr>
      <w:tr>
        <w:tblPrEx>
          <w:tblCellMar>
            <w:top w:w="0" w:type="dxa"/>
            <w:left w:w="108" w:type="dxa"/>
            <w:bottom w:w="0" w:type="dxa"/>
            <w:right w:w="108" w:type="dxa"/>
          </w:tblCellMar>
        </w:tblPrEx>
        <w:trPr>
          <w:trHeight w:val="635" w:hRule="atLeast"/>
        </w:trPr>
        <w:tc>
          <w:tcPr>
            <w:tcW w:w="2753" w:type="dxa"/>
            <w:vMerge w:val="continue"/>
            <w:tcBorders>
              <w:top w:val="single" w:color="000000" w:sz="8" w:space="0"/>
              <w:left w:val="single" w:color="000000" w:sz="8" w:space="0"/>
              <w:bottom w:val="single" w:color="000000" w:sz="4" w:space="0"/>
              <w:right w:val="single" w:color="000000" w:sz="4" w:space="0"/>
            </w:tcBorders>
            <w:noWrap/>
            <w:vAlign w:val="center"/>
          </w:tcPr>
          <w:p>
            <w:pPr>
              <w:jc w:val="center"/>
              <w:rPr>
                <w:rFonts w:ascii="宋体" w:hAnsi="宋体" w:eastAsia="宋体" w:cs="宋体"/>
                <w:b/>
                <w:bCs/>
                <w:color w:val="000000"/>
                <w:sz w:val="20"/>
                <w:szCs w:val="20"/>
              </w:rPr>
            </w:pPr>
          </w:p>
        </w:tc>
        <w:tc>
          <w:tcPr>
            <w:tcW w:w="10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LSFO</w:t>
            </w:r>
          </w:p>
        </w:tc>
        <w:tc>
          <w:tcPr>
            <w:tcW w:w="98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B15</w:t>
            </w:r>
          </w:p>
        </w:tc>
        <w:tc>
          <w:tcPr>
            <w:tcW w:w="8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(B15)②</w:t>
            </w:r>
          </w:p>
        </w:tc>
        <w:tc>
          <w:tcPr>
            <w:tcW w:w="7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B24</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B30</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B50</w:t>
            </w:r>
          </w:p>
        </w:tc>
        <w:tc>
          <w:tcPr>
            <w:tcW w:w="89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B100</w:t>
            </w:r>
          </w:p>
        </w:tc>
        <w:tc>
          <w:tcPr>
            <w:tcW w:w="1675" w:type="dxa"/>
            <w:vMerge w:val="continue"/>
            <w:tcBorders>
              <w:top w:val="single" w:color="000000" w:sz="8" w:space="0"/>
              <w:left w:val="single" w:color="000000" w:sz="4" w:space="0"/>
              <w:bottom w:val="single" w:color="000000" w:sz="4" w:space="0"/>
              <w:right w:val="single" w:color="000000" w:sz="4" w:space="0"/>
            </w:tcBorders>
            <w:noWrap/>
            <w:vAlign w:val="center"/>
          </w:tcPr>
          <w:p>
            <w:pPr>
              <w:jc w:val="center"/>
              <w:rPr>
                <w:rFonts w:ascii="宋体" w:hAnsi="宋体" w:eastAsia="宋体" w:cs="宋体"/>
                <w:b/>
                <w:bCs/>
                <w:color w:val="000000"/>
                <w:sz w:val="20"/>
                <w:szCs w:val="20"/>
              </w:rPr>
            </w:pPr>
          </w:p>
        </w:tc>
      </w:tr>
      <w:tr>
        <w:tblPrEx>
          <w:tblCellMar>
            <w:top w:w="0" w:type="dxa"/>
            <w:left w:w="108" w:type="dxa"/>
            <w:bottom w:w="0" w:type="dxa"/>
            <w:right w:w="108" w:type="dxa"/>
          </w:tblCellMar>
        </w:tblPrEx>
        <w:trPr>
          <w:trHeight w:val="625" w:hRule="atLeast"/>
        </w:trPr>
        <w:tc>
          <w:tcPr>
            <w:tcW w:w="2753" w:type="dxa"/>
            <w:tcBorders>
              <w:top w:val="single" w:color="000000" w:sz="4" w:space="0"/>
              <w:left w:val="single" w:color="000000" w:sz="8"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Style w:val="9"/>
                <w:rFonts w:hint="default"/>
                <w:lang w:bidi="ar"/>
              </w:rPr>
              <w:t>密度(20℃)，㎏/m</w:t>
            </w:r>
            <w:r>
              <w:rPr>
                <w:rStyle w:val="10"/>
                <w:rFonts w:hint="default"/>
                <w:lang w:bidi="ar"/>
              </w:rPr>
              <w:t>3</w:t>
            </w:r>
          </w:p>
        </w:tc>
        <w:tc>
          <w:tcPr>
            <w:tcW w:w="10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958.4</w:t>
            </w:r>
          </w:p>
        </w:tc>
        <w:tc>
          <w:tcPr>
            <w:tcW w:w="98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945.2</w:t>
            </w:r>
          </w:p>
        </w:tc>
        <w:tc>
          <w:tcPr>
            <w:tcW w:w="8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948.6</w:t>
            </w:r>
          </w:p>
        </w:tc>
        <w:tc>
          <w:tcPr>
            <w:tcW w:w="7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940.8</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930.6</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915.5</w:t>
            </w:r>
          </w:p>
        </w:tc>
        <w:tc>
          <w:tcPr>
            <w:tcW w:w="89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873.8</w:t>
            </w:r>
          </w:p>
        </w:tc>
        <w:tc>
          <w:tcPr>
            <w:tcW w:w="167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GB/T 1884</w:t>
            </w:r>
          </w:p>
        </w:tc>
      </w:tr>
      <w:tr>
        <w:tblPrEx>
          <w:tblCellMar>
            <w:top w:w="0" w:type="dxa"/>
            <w:left w:w="108" w:type="dxa"/>
            <w:bottom w:w="0" w:type="dxa"/>
            <w:right w:w="108" w:type="dxa"/>
          </w:tblCellMar>
        </w:tblPrEx>
        <w:trPr>
          <w:trHeight w:val="625" w:hRule="atLeast"/>
        </w:trPr>
        <w:tc>
          <w:tcPr>
            <w:tcW w:w="2753" w:type="dxa"/>
            <w:tcBorders>
              <w:top w:val="single" w:color="000000" w:sz="4" w:space="0"/>
              <w:left w:val="single" w:color="000000" w:sz="8"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Style w:val="9"/>
                <w:rFonts w:hint="default"/>
                <w:lang w:bidi="ar"/>
              </w:rPr>
              <w:t>运动粘度(20℃)，mm</w:t>
            </w:r>
            <w:r>
              <w:rPr>
                <w:rStyle w:val="10"/>
                <w:rFonts w:hint="default"/>
                <w:lang w:bidi="ar"/>
              </w:rPr>
              <w:t>2</w:t>
            </w:r>
            <w:r>
              <w:rPr>
                <w:rStyle w:val="9"/>
                <w:rFonts w:hint="default"/>
                <w:lang w:bidi="ar"/>
              </w:rPr>
              <w:t>/s</w:t>
            </w:r>
          </w:p>
        </w:tc>
        <w:tc>
          <w:tcPr>
            <w:tcW w:w="10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98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8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7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89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1675" w:type="dxa"/>
            <w:tcBorders>
              <w:top w:val="single" w:color="000000" w:sz="4" w:space="0"/>
              <w:left w:val="single" w:color="000000" w:sz="4" w:space="0"/>
              <w:bottom w:val="single" w:color="000000" w:sz="4" w:space="0"/>
              <w:right w:val="single" w:color="000000" w:sz="8"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color w:val="000000"/>
                <w:kern w:val="0"/>
                <w:sz w:val="22"/>
                <w:szCs w:val="22"/>
                <w:lang w:bidi="ar"/>
              </w:rPr>
              <w:t>GB/T 30515</w:t>
            </w:r>
          </w:p>
        </w:tc>
      </w:tr>
      <w:tr>
        <w:tblPrEx>
          <w:tblCellMar>
            <w:top w:w="0" w:type="dxa"/>
            <w:left w:w="108" w:type="dxa"/>
            <w:bottom w:w="0" w:type="dxa"/>
            <w:right w:w="108" w:type="dxa"/>
          </w:tblCellMar>
        </w:tblPrEx>
        <w:trPr>
          <w:trHeight w:val="625" w:hRule="atLeast"/>
        </w:trPr>
        <w:tc>
          <w:tcPr>
            <w:tcW w:w="2753" w:type="dxa"/>
            <w:tcBorders>
              <w:top w:val="single" w:color="000000" w:sz="4" w:space="0"/>
              <w:left w:val="single" w:color="000000" w:sz="8"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Style w:val="9"/>
                <w:rFonts w:hint="default"/>
                <w:lang w:bidi="ar"/>
              </w:rPr>
              <w:t>运动粘度(40℃)，mm</w:t>
            </w:r>
            <w:r>
              <w:rPr>
                <w:rStyle w:val="10"/>
                <w:rFonts w:hint="default"/>
                <w:lang w:bidi="ar"/>
              </w:rPr>
              <w:t>2</w:t>
            </w:r>
            <w:r>
              <w:rPr>
                <w:rStyle w:val="9"/>
                <w:rFonts w:hint="default"/>
                <w:lang w:bidi="ar"/>
              </w:rPr>
              <w:t>/s</w:t>
            </w:r>
          </w:p>
        </w:tc>
        <w:tc>
          <w:tcPr>
            <w:tcW w:w="10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98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8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7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89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4.311</w:t>
            </w:r>
          </w:p>
        </w:tc>
        <w:tc>
          <w:tcPr>
            <w:tcW w:w="1675" w:type="dxa"/>
            <w:tcBorders>
              <w:top w:val="single" w:color="000000" w:sz="4" w:space="0"/>
              <w:left w:val="single" w:color="000000" w:sz="4" w:space="0"/>
              <w:bottom w:val="single" w:color="000000" w:sz="4" w:space="0"/>
              <w:right w:val="single" w:color="000000" w:sz="8"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GB/T 265</w:t>
            </w:r>
          </w:p>
        </w:tc>
      </w:tr>
      <w:tr>
        <w:tblPrEx>
          <w:tblCellMar>
            <w:top w:w="0" w:type="dxa"/>
            <w:left w:w="108" w:type="dxa"/>
            <w:bottom w:w="0" w:type="dxa"/>
            <w:right w:w="108" w:type="dxa"/>
          </w:tblCellMar>
        </w:tblPrEx>
        <w:trPr>
          <w:trHeight w:val="625" w:hRule="atLeast"/>
        </w:trPr>
        <w:tc>
          <w:tcPr>
            <w:tcW w:w="2753" w:type="dxa"/>
            <w:tcBorders>
              <w:top w:val="single" w:color="000000" w:sz="4" w:space="0"/>
              <w:left w:val="single" w:color="000000" w:sz="8"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Style w:val="9"/>
                <w:rFonts w:hint="default"/>
                <w:lang w:bidi="ar"/>
              </w:rPr>
              <w:t>运动粘度(50℃)，mm</w:t>
            </w:r>
            <w:r>
              <w:rPr>
                <w:rStyle w:val="10"/>
                <w:rFonts w:hint="default"/>
                <w:lang w:bidi="ar"/>
              </w:rPr>
              <w:t>2</w:t>
            </w:r>
            <w:r>
              <w:rPr>
                <w:rStyle w:val="9"/>
                <w:rFonts w:hint="default"/>
                <w:lang w:bidi="ar"/>
              </w:rPr>
              <w:t>/s</w:t>
            </w:r>
          </w:p>
        </w:tc>
        <w:tc>
          <w:tcPr>
            <w:tcW w:w="10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165.7</w:t>
            </w:r>
          </w:p>
        </w:tc>
        <w:tc>
          <w:tcPr>
            <w:tcW w:w="98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62.12</w:t>
            </w:r>
          </w:p>
        </w:tc>
        <w:tc>
          <w:tcPr>
            <w:tcW w:w="8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78.09</w:t>
            </w:r>
          </w:p>
        </w:tc>
        <w:tc>
          <w:tcPr>
            <w:tcW w:w="7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47.27</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27.17 </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13.59</w:t>
            </w:r>
          </w:p>
        </w:tc>
        <w:tc>
          <w:tcPr>
            <w:tcW w:w="89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167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GB/T 11137</w:t>
            </w:r>
          </w:p>
        </w:tc>
      </w:tr>
      <w:tr>
        <w:tblPrEx>
          <w:tblCellMar>
            <w:top w:w="0" w:type="dxa"/>
            <w:left w:w="108" w:type="dxa"/>
            <w:bottom w:w="0" w:type="dxa"/>
            <w:right w:w="108" w:type="dxa"/>
          </w:tblCellMar>
        </w:tblPrEx>
        <w:trPr>
          <w:trHeight w:val="625" w:hRule="atLeast"/>
        </w:trPr>
        <w:tc>
          <w:tcPr>
            <w:tcW w:w="2753" w:type="dxa"/>
            <w:tcBorders>
              <w:top w:val="single" w:color="000000" w:sz="4" w:space="0"/>
              <w:left w:val="single" w:color="000000" w:sz="8"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Style w:val="9"/>
                <w:rFonts w:hint="default"/>
                <w:lang w:bidi="ar"/>
              </w:rPr>
              <w:t>运动粘度(115℃)，mm</w:t>
            </w:r>
            <w:r>
              <w:rPr>
                <w:rStyle w:val="10"/>
                <w:rFonts w:hint="default"/>
                <w:lang w:bidi="ar"/>
              </w:rPr>
              <w:t>2</w:t>
            </w:r>
            <w:r>
              <w:rPr>
                <w:rStyle w:val="9"/>
                <w:rFonts w:hint="default"/>
                <w:lang w:bidi="ar"/>
              </w:rPr>
              <w:t>/s</w:t>
            </w:r>
          </w:p>
        </w:tc>
        <w:tc>
          <w:tcPr>
            <w:tcW w:w="10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12.95</w:t>
            </w:r>
          </w:p>
        </w:tc>
        <w:tc>
          <w:tcPr>
            <w:tcW w:w="98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7.92</w:t>
            </w:r>
          </w:p>
        </w:tc>
        <w:tc>
          <w:tcPr>
            <w:tcW w:w="8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8.936</w:t>
            </w:r>
          </w:p>
        </w:tc>
        <w:tc>
          <w:tcPr>
            <w:tcW w:w="7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6.854</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5.005</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3.362</w:t>
            </w:r>
          </w:p>
        </w:tc>
        <w:tc>
          <w:tcPr>
            <w:tcW w:w="89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167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GB/T 11137</w:t>
            </w:r>
          </w:p>
        </w:tc>
      </w:tr>
      <w:tr>
        <w:tblPrEx>
          <w:tblCellMar>
            <w:top w:w="0" w:type="dxa"/>
            <w:left w:w="108" w:type="dxa"/>
            <w:bottom w:w="0" w:type="dxa"/>
            <w:right w:w="108" w:type="dxa"/>
          </w:tblCellMar>
        </w:tblPrEx>
        <w:trPr>
          <w:trHeight w:val="625" w:hRule="atLeast"/>
        </w:trPr>
        <w:tc>
          <w:tcPr>
            <w:tcW w:w="2753" w:type="dxa"/>
            <w:tcBorders>
              <w:top w:val="single" w:color="000000" w:sz="4" w:space="0"/>
              <w:left w:val="single" w:color="000000" w:sz="8"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闪点（闭口），℃</w:t>
            </w:r>
          </w:p>
        </w:tc>
        <w:tc>
          <w:tcPr>
            <w:tcW w:w="10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93.0 </w:t>
            </w:r>
          </w:p>
        </w:tc>
        <w:tc>
          <w:tcPr>
            <w:tcW w:w="98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99.0 </w:t>
            </w:r>
          </w:p>
        </w:tc>
        <w:tc>
          <w:tcPr>
            <w:tcW w:w="8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101.0 </w:t>
            </w:r>
          </w:p>
        </w:tc>
        <w:tc>
          <w:tcPr>
            <w:tcW w:w="7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101.0 </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107.0 </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117.0 </w:t>
            </w:r>
          </w:p>
        </w:tc>
        <w:tc>
          <w:tcPr>
            <w:tcW w:w="89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150.0 </w:t>
            </w:r>
          </w:p>
        </w:tc>
        <w:tc>
          <w:tcPr>
            <w:tcW w:w="167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GB/T 261</w:t>
            </w:r>
          </w:p>
        </w:tc>
      </w:tr>
      <w:tr>
        <w:tblPrEx>
          <w:tblCellMar>
            <w:top w:w="0" w:type="dxa"/>
            <w:left w:w="108" w:type="dxa"/>
            <w:bottom w:w="0" w:type="dxa"/>
            <w:right w:w="108" w:type="dxa"/>
          </w:tblCellMar>
        </w:tblPrEx>
        <w:trPr>
          <w:trHeight w:val="406" w:hRule="atLeast"/>
        </w:trPr>
        <w:tc>
          <w:tcPr>
            <w:tcW w:w="2753" w:type="dxa"/>
            <w:tcBorders>
              <w:top w:val="single" w:color="000000" w:sz="4" w:space="0"/>
              <w:left w:val="single" w:color="000000" w:sz="8"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倾点，℃</w:t>
            </w:r>
          </w:p>
        </w:tc>
        <w:tc>
          <w:tcPr>
            <w:tcW w:w="10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-12</w:t>
            </w:r>
          </w:p>
        </w:tc>
        <w:tc>
          <w:tcPr>
            <w:tcW w:w="98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-9</w:t>
            </w:r>
          </w:p>
        </w:tc>
        <w:tc>
          <w:tcPr>
            <w:tcW w:w="8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-6</w:t>
            </w:r>
          </w:p>
        </w:tc>
        <w:tc>
          <w:tcPr>
            <w:tcW w:w="7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-6</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0</w:t>
            </w:r>
          </w:p>
        </w:tc>
        <w:tc>
          <w:tcPr>
            <w:tcW w:w="89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9</w:t>
            </w:r>
          </w:p>
        </w:tc>
        <w:tc>
          <w:tcPr>
            <w:tcW w:w="167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GB/T 3535</w:t>
            </w:r>
          </w:p>
        </w:tc>
      </w:tr>
      <w:tr>
        <w:tblPrEx>
          <w:tblCellMar>
            <w:top w:w="0" w:type="dxa"/>
            <w:left w:w="108" w:type="dxa"/>
            <w:bottom w:w="0" w:type="dxa"/>
            <w:right w:w="108" w:type="dxa"/>
          </w:tblCellMar>
        </w:tblPrEx>
        <w:trPr>
          <w:trHeight w:val="406" w:hRule="atLeast"/>
        </w:trPr>
        <w:tc>
          <w:tcPr>
            <w:tcW w:w="2753" w:type="dxa"/>
            <w:tcBorders>
              <w:top w:val="single" w:color="000000" w:sz="4" w:space="0"/>
              <w:left w:val="single" w:color="000000" w:sz="8"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凝点，℃</w:t>
            </w:r>
          </w:p>
        </w:tc>
        <w:tc>
          <w:tcPr>
            <w:tcW w:w="10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98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8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7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89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167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GB/T 510</w:t>
            </w:r>
          </w:p>
        </w:tc>
      </w:tr>
      <w:tr>
        <w:tblPrEx>
          <w:tblCellMar>
            <w:top w:w="0" w:type="dxa"/>
            <w:left w:w="108" w:type="dxa"/>
            <w:bottom w:w="0" w:type="dxa"/>
            <w:right w:w="108" w:type="dxa"/>
          </w:tblCellMar>
        </w:tblPrEx>
        <w:trPr>
          <w:trHeight w:val="406" w:hRule="atLeast"/>
        </w:trPr>
        <w:tc>
          <w:tcPr>
            <w:tcW w:w="2753" w:type="dxa"/>
            <w:tcBorders>
              <w:top w:val="single" w:color="000000" w:sz="4" w:space="0"/>
              <w:left w:val="single" w:color="000000" w:sz="8"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冷滤点，℃</w:t>
            </w:r>
          </w:p>
        </w:tc>
        <w:tc>
          <w:tcPr>
            <w:tcW w:w="10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98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8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7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89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4</w:t>
            </w:r>
          </w:p>
        </w:tc>
        <w:tc>
          <w:tcPr>
            <w:tcW w:w="167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SH/T 0248</w:t>
            </w:r>
          </w:p>
        </w:tc>
      </w:tr>
      <w:tr>
        <w:tblPrEx>
          <w:tblCellMar>
            <w:top w:w="0" w:type="dxa"/>
            <w:left w:w="108" w:type="dxa"/>
            <w:bottom w:w="0" w:type="dxa"/>
            <w:right w:w="108" w:type="dxa"/>
          </w:tblCellMar>
        </w:tblPrEx>
        <w:trPr>
          <w:trHeight w:val="625" w:hRule="atLeast"/>
        </w:trPr>
        <w:tc>
          <w:tcPr>
            <w:tcW w:w="2753" w:type="dxa"/>
            <w:tcBorders>
              <w:top w:val="single" w:color="000000" w:sz="4" w:space="0"/>
              <w:left w:val="single" w:color="000000" w:sz="8"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紫外荧光硫含量，mg/kg</w:t>
            </w:r>
          </w:p>
        </w:tc>
        <w:tc>
          <w:tcPr>
            <w:tcW w:w="10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98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8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7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89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15</w:t>
            </w:r>
          </w:p>
        </w:tc>
        <w:tc>
          <w:tcPr>
            <w:tcW w:w="1675" w:type="dxa"/>
            <w:tcBorders>
              <w:top w:val="single" w:color="000000" w:sz="4" w:space="0"/>
              <w:left w:val="single" w:color="000000" w:sz="4" w:space="0"/>
              <w:bottom w:val="single" w:color="000000" w:sz="4" w:space="0"/>
              <w:right w:val="single" w:color="000000" w:sz="8"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SH/T 0689</w:t>
            </w:r>
          </w:p>
        </w:tc>
      </w:tr>
      <w:tr>
        <w:tblPrEx>
          <w:tblCellMar>
            <w:top w:w="0" w:type="dxa"/>
            <w:left w:w="108" w:type="dxa"/>
            <w:bottom w:w="0" w:type="dxa"/>
            <w:right w:w="108" w:type="dxa"/>
          </w:tblCellMar>
        </w:tblPrEx>
        <w:trPr>
          <w:trHeight w:val="625" w:hRule="atLeast"/>
        </w:trPr>
        <w:tc>
          <w:tcPr>
            <w:tcW w:w="2753" w:type="dxa"/>
            <w:tcBorders>
              <w:top w:val="single" w:color="000000" w:sz="4" w:space="0"/>
              <w:left w:val="single" w:color="000000" w:sz="8"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X荧光硫含量，％（质量分数）</w:t>
            </w:r>
          </w:p>
        </w:tc>
        <w:tc>
          <w:tcPr>
            <w:tcW w:w="10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0.476</w:t>
            </w:r>
          </w:p>
        </w:tc>
        <w:tc>
          <w:tcPr>
            <w:tcW w:w="98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0.406</w:t>
            </w:r>
          </w:p>
        </w:tc>
        <w:tc>
          <w:tcPr>
            <w:tcW w:w="8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0.422</w:t>
            </w:r>
          </w:p>
        </w:tc>
        <w:tc>
          <w:tcPr>
            <w:tcW w:w="7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0.379</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0.322</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0.24</w:t>
            </w:r>
          </w:p>
        </w:tc>
        <w:tc>
          <w:tcPr>
            <w:tcW w:w="89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0.0015</w:t>
            </w:r>
          </w:p>
        </w:tc>
        <w:tc>
          <w:tcPr>
            <w:tcW w:w="167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GB/T 17040</w:t>
            </w:r>
          </w:p>
        </w:tc>
      </w:tr>
      <w:tr>
        <w:tblPrEx>
          <w:tblCellMar>
            <w:top w:w="0" w:type="dxa"/>
            <w:left w:w="108" w:type="dxa"/>
            <w:bottom w:w="0" w:type="dxa"/>
            <w:right w:w="108" w:type="dxa"/>
          </w:tblCellMar>
        </w:tblPrEx>
        <w:trPr>
          <w:trHeight w:val="625" w:hRule="atLeast"/>
        </w:trPr>
        <w:tc>
          <w:tcPr>
            <w:tcW w:w="2753" w:type="dxa"/>
            <w:tcBorders>
              <w:top w:val="single" w:color="000000" w:sz="4" w:space="0"/>
              <w:left w:val="single" w:color="000000" w:sz="8"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10%残炭，％（质量分数）</w:t>
            </w:r>
          </w:p>
        </w:tc>
        <w:tc>
          <w:tcPr>
            <w:tcW w:w="10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98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8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7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89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167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GB/T 17144，GB/T 6536</w:t>
            </w:r>
          </w:p>
        </w:tc>
      </w:tr>
      <w:tr>
        <w:tblPrEx>
          <w:tblCellMar>
            <w:top w:w="0" w:type="dxa"/>
            <w:left w:w="108" w:type="dxa"/>
            <w:bottom w:w="0" w:type="dxa"/>
            <w:right w:w="108" w:type="dxa"/>
          </w:tblCellMar>
        </w:tblPrEx>
        <w:trPr>
          <w:trHeight w:val="625" w:hRule="atLeast"/>
        </w:trPr>
        <w:tc>
          <w:tcPr>
            <w:tcW w:w="2753" w:type="dxa"/>
            <w:tcBorders>
              <w:top w:val="single" w:color="000000" w:sz="4" w:space="0"/>
              <w:left w:val="single" w:color="000000" w:sz="8"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残炭，％（质量分数）</w:t>
            </w:r>
          </w:p>
        </w:tc>
        <w:tc>
          <w:tcPr>
            <w:tcW w:w="10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7.75</w:t>
            </w:r>
          </w:p>
        </w:tc>
        <w:tc>
          <w:tcPr>
            <w:tcW w:w="98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6.46</w:t>
            </w:r>
          </w:p>
        </w:tc>
        <w:tc>
          <w:tcPr>
            <w:tcW w:w="8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7.06</w:t>
            </w:r>
          </w:p>
        </w:tc>
        <w:tc>
          <w:tcPr>
            <w:tcW w:w="7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6.32</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5.44 </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4.14</w:t>
            </w:r>
          </w:p>
        </w:tc>
        <w:tc>
          <w:tcPr>
            <w:tcW w:w="89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0.01</w:t>
            </w:r>
          </w:p>
        </w:tc>
        <w:tc>
          <w:tcPr>
            <w:tcW w:w="167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GB/T 17144</w:t>
            </w:r>
          </w:p>
        </w:tc>
      </w:tr>
      <w:tr>
        <w:tblPrEx>
          <w:tblCellMar>
            <w:top w:w="0" w:type="dxa"/>
            <w:left w:w="108" w:type="dxa"/>
            <w:bottom w:w="0" w:type="dxa"/>
            <w:right w:w="108" w:type="dxa"/>
          </w:tblCellMar>
        </w:tblPrEx>
        <w:trPr>
          <w:trHeight w:val="625" w:hRule="atLeast"/>
        </w:trPr>
        <w:tc>
          <w:tcPr>
            <w:tcW w:w="2753" w:type="dxa"/>
            <w:tcBorders>
              <w:top w:val="single" w:color="000000" w:sz="4" w:space="0"/>
              <w:left w:val="single" w:color="000000" w:sz="8"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灰分，％（质量分数）</w:t>
            </w:r>
          </w:p>
        </w:tc>
        <w:tc>
          <w:tcPr>
            <w:tcW w:w="10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0.040 </w:t>
            </w:r>
          </w:p>
        </w:tc>
        <w:tc>
          <w:tcPr>
            <w:tcW w:w="98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0.038 </w:t>
            </w:r>
          </w:p>
        </w:tc>
        <w:tc>
          <w:tcPr>
            <w:tcW w:w="8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0.039 </w:t>
            </w:r>
          </w:p>
        </w:tc>
        <w:tc>
          <w:tcPr>
            <w:tcW w:w="7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0.039 </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0.027 </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0.027 </w:t>
            </w:r>
          </w:p>
        </w:tc>
        <w:tc>
          <w:tcPr>
            <w:tcW w:w="89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0.004 </w:t>
            </w:r>
          </w:p>
        </w:tc>
        <w:tc>
          <w:tcPr>
            <w:tcW w:w="167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GB/T 508</w:t>
            </w:r>
          </w:p>
        </w:tc>
      </w:tr>
      <w:tr>
        <w:tblPrEx>
          <w:tblCellMar>
            <w:top w:w="0" w:type="dxa"/>
            <w:left w:w="108" w:type="dxa"/>
            <w:bottom w:w="0" w:type="dxa"/>
            <w:right w:w="108" w:type="dxa"/>
          </w:tblCellMar>
        </w:tblPrEx>
        <w:trPr>
          <w:trHeight w:val="625" w:hRule="atLeast"/>
        </w:trPr>
        <w:tc>
          <w:tcPr>
            <w:tcW w:w="2753" w:type="dxa"/>
            <w:tcBorders>
              <w:top w:val="single" w:color="000000" w:sz="4" w:space="0"/>
              <w:left w:val="single" w:color="000000" w:sz="8"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水分，％（质量分数）</w:t>
            </w:r>
          </w:p>
        </w:tc>
        <w:tc>
          <w:tcPr>
            <w:tcW w:w="10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0.5</w:t>
            </w:r>
          </w:p>
        </w:tc>
        <w:tc>
          <w:tcPr>
            <w:tcW w:w="98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0.15</w:t>
            </w:r>
          </w:p>
        </w:tc>
        <w:tc>
          <w:tcPr>
            <w:tcW w:w="8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0.15</w:t>
            </w:r>
          </w:p>
        </w:tc>
        <w:tc>
          <w:tcPr>
            <w:tcW w:w="7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0.13</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0.08</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0.06</w:t>
            </w:r>
          </w:p>
        </w:tc>
        <w:tc>
          <w:tcPr>
            <w:tcW w:w="89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0.04</w:t>
            </w:r>
          </w:p>
        </w:tc>
        <w:tc>
          <w:tcPr>
            <w:tcW w:w="167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GB/T 260</w:t>
            </w:r>
          </w:p>
        </w:tc>
      </w:tr>
      <w:tr>
        <w:tblPrEx>
          <w:tblCellMar>
            <w:top w:w="0" w:type="dxa"/>
            <w:left w:w="108" w:type="dxa"/>
            <w:bottom w:w="0" w:type="dxa"/>
            <w:right w:w="108" w:type="dxa"/>
          </w:tblCellMar>
        </w:tblPrEx>
        <w:trPr>
          <w:trHeight w:val="406" w:hRule="atLeast"/>
        </w:trPr>
        <w:tc>
          <w:tcPr>
            <w:tcW w:w="2753" w:type="dxa"/>
            <w:tcBorders>
              <w:top w:val="single" w:color="000000" w:sz="4" w:space="0"/>
              <w:left w:val="single" w:color="000000" w:sz="8"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水分，mg/kg</w:t>
            </w:r>
          </w:p>
        </w:tc>
        <w:tc>
          <w:tcPr>
            <w:tcW w:w="10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98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8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7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89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167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SH/T 0246</w:t>
            </w:r>
          </w:p>
        </w:tc>
      </w:tr>
      <w:tr>
        <w:tblPrEx>
          <w:tblCellMar>
            <w:top w:w="0" w:type="dxa"/>
            <w:left w:w="108" w:type="dxa"/>
            <w:bottom w:w="0" w:type="dxa"/>
            <w:right w:w="108" w:type="dxa"/>
          </w:tblCellMar>
        </w:tblPrEx>
        <w:trPr>
          <w:trHeight w:val="406" w:hRule="atLeast"/>
        </w:trPr>
        <w:tc>
          <w:tcPr>
            <w:tcW w:w="2753" w:type="dxa"/>
            <w:tcBorders>
              <w:top w:val="single" w:color="000000" w:sz="4" w:space="0"/>
              <w:left w:val="single" w:color="000000" w:sz="8"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酸值，mgKOH/g</w:t>
            </w:r>
          </w:p>
        </w:tc>
        <w:tc>
          <w:tcPr>
            <w:tcW w:w="10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1.42</w:t>
            </w:r>
          </w:p>
        </w:tc>
        <w:tc>
          <w:tcPr>
            <w:tcW w:w="98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1.34</w:t>
            </w:r>
          </w:p>
        </w:tc>
        <w:tc>
          <w:tcPr>
            <w:tcW w:w="8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1.39</w:t>
            </w:r>
          </w:p>
        </w:tc>
        <w:tc>
          <w:tcPr>
            <w:tcW w:w="7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1.28</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1.12 </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0.98</w:t>
            </w:r>
          </w:p>
        </w:tc>
        <w:tc>
          <w:tcPr>
            <w:tcW w:w="89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0.44</w:t>
            </w:r>
          </w:p>
        </w:tc>
        <w:tc>
          <w:tcPr>
            <w:tcW w:w="167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GB/T 7304</w:t>
            </w:r>
          </w:p>
        </w:tc>
      </w:tr>
      <w:tr>
        <w:tblPrEx>
          <w:tblCellMar>
            <w:top w:w="0" w:type="dxa"/>
            <w:left w:w="108" w:type="dxa"/>
            <w:bottom w:w="0" w:type="dxa"/>
            <w:right w:w="108" w:type="dxa"/>
          </w:tblCellMar>
        </w:tblPrEx>
        <w:trPr>
          <w:trHeight w:val="933" w:hRule="atLeast"/>
        </w:trPr>
        <w:tc>
          <w:tcPr>
            <w:tcW w:w="2753" w:type="dxa"/>
            <w:tcBorders>
              <w:top w:val="single" w:color="000000" w:sz="4" w:space="0"/>
              <w:left w:val="single" w:color="000000" w:sz="8"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总潜在沉淀物，％（质量分数）</w:t>
            </w:r>
          </w:p>
        </w:tc>
        <w:tc>
          <w:tcPr>
            <w:tcW w:w="10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98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8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7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89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167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SH/T 0702（A）</w:t>
            </w:r>
          </w:p>
        </w:tc>
      </w:tr>
      <w:tr>
        <w:tblPrEx>
          <w:tblCellMar>
            <w:top w:w="0" w:type="dxa"/>
            <w:left w:w="108" w:type="dxa"/>
            <w:bottom w:w="0" w:type="dxa"/>
            <w:right w:w="108" w:type="dxa"/>
          </w:tblCellMar>
        </w:tblPrEx>
        <w:trPr>
          <w:trHeight w:val="406" w:hRule="atLeast"/>
        </w:trPr>
        <w:tc>
          <w:tcPr>
            <w:tcW w:w="2753" w:type="dxa"/>
            <w:tcBorders>
              <w:top w:val="single" w:color="000000" w:sz="4" w:space="0"/>
              <w:left w:val="single" w:color="000000" w:sz="8"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总加速沉淀物，％（质量分数）</w:t>
            </w:r>
          </w:p>
        </w:tc>
        <w:tc>
          <w:tcPr>
            <w:tcW w:w="10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0.01</w:t>
            </w:r>
          </w:p>
        </w:tc>
        <w:tc>
          <w:tcPr>
            <w:tcW w:w="98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0.01</w:t>
            </w:r>
          </w:p>
        </w:tc>
        <w:tc>
          <w:tcPr>
            <w:tcW w:w="8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0.01</w:t>
            </w:r>
          </w:p>
        </w:tc>
        <w:tc>
          <w:tcPr>
            <w:tcW w:w="7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0.01</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0.01</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0.01</w:t>
            </w:r>
          </w:p>
        </w:tc>
        <w:tc>
          <w:tcPr>
            <w:tcW w:w="89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167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SH/T 0702（B）</w:t>
            </w:r>
          </w:p>
        </w:tc>
      </w:tr>
      <w:tr>
        <w:tblPrEx>
          <w:tblCellMar>
            <w:top w:w="0" w:type="dxa"/>
            <w:left w:w="108" w:type="dxa"/>
            <w:bottom w:w="0" w:type="dxa"/>
            <w:right w:w="108" w:type="dxa"/>
          </w:tblCellMar>
        </w:tblPrEx>
        <w:trPr>
          <w:trHeight w:val="933" w:hRule="atLeast"/>
        </w:trPr>
        <w:tc>
          <w:tcPr>
            <w:tcW w:w="2753" w:type="dxa"/>
            <w:tcBorders>
              <w:top w:val="single" w:color="000000" w:sz="4" w:space="0"/>
              <w:left w:val="single" w:color="000000" w:sz="8"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总实际沉淀物（氧化后），</w:t>
            </w:r>
            <w:r>
              <w:rPr>
                <w:rFonts w:hint="eastAsia" w:ascii="宋体" w:hAnsi="宋体" w:eastAsia="宋体" w:cs="宋体"/>
                <w:b/>
                <w:bCs/>
                <w:color w:val="000000"/>
                <w:kern w:val="0"/>
                <w:sz w:val="20"/>
                <w:szCs w:val="20"/>
                <w:lang w:bidi="ar"/>
              </w:rPr>
              <w:br w:type="textWrapping"/>
            </w:r>
            <w:r>
              <w:rPr>
                <w:rFonts w:hint="eastAsia" w:ascii="宋体" w:hAnsi="宋体" w:eastAsia="宋体" w:cs="宋体"/>
                <w:b/>
                <w:bCs/>
                <w:color w:val="000000"/>
                <w:kern w:val="0"/>
                <w:sz w:val="20"/>
                <w:szCs w:val="20"/>
                <w:lang w:bidi="ar"/>
              </w:rPr>
              <w:t>％（m/m）</w:t>
            </w:r>
          </w:p>
        </w:tc>
        <w:tc>
          <w:tcPr>
            <w:tcW w:w="10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98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8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7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89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167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ASTM D4870</w:t>
            </w:r>
          </w:p>
        </w:tc>
      </w:tr>
      <w:tr>
        <w:tblPrEx>
          <w:tblCellMar>
            <w:top w:w="0" w:type="dxa"/>
            <w:left w:w="108" w:type="dxa"/>
            <w:bottom w:w="0" w:type="dxa"/>
            <w:right w:w="108" w:type="dxa"/>
          </w:tblCellMar>
        </w:tblPrEx>
        <w:trPr>
          <w:trHeight w:val="625" w:hRule="atLeast"/>
        </w:trPr>
        <w:tc>
          <w:tcPr>
            <w:tcW w:w="2753" w:type="dxa"/>
            <w:tcBorders>
              <w:top w:val="single" w:color="000000" w:sz="4" w:space="0"/>
              <w:left w:val="single" w:color="000000" w:sz="8"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机械杂质，％（m/m）</w:t>
            </w:r>
          </w:p>
        </w:tc>
        <w:tc>
          <w:tcPr>
            <w:tcW w:w="10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98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8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7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89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无</w:t>
            </w:r>
          </w:p>
        </w:tc>
        <w:tc>
          <w:tcPr>
            <w:tcW w:w="167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GB/T 511</w:t>
            </w:r>
          </w:p>
        </w:tc>
      </w:tr>
      <w:tr>
        <w:tblPrEx>
          <w:tblCellMar>
            <w:top w:w="0" w:type="dxa"/>
            <w:left w:w="108" w:type="dxa"/>
            <w:bottom w:w="0" w:type="dxa"/>
            <w:right w:w="108" w:type="dxa"/>
          </w:tblCellMar>
        </w:tblPrEx>
        <w:trPr>
          <w:trHeight w:val="406" w:hRule="atLeast"/>
        </w:trPr>
        <w:tc>
          <w:tcPr>
            <w:tcW w:w="2753" w:type="dxa"/>
            <w:tcBorders>
              <w:top w:val="single" w:color="000000" w:sz="4" w:space="0"/>
              <w:left w:val="single" w:color="000000" w:sz="8"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相容性，级</w:t>
            </w:r>
          </w:p>
        </w:tc>
        <w:tc>
          <w:tcPr>
            <w:tcW w:w="10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98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8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7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89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167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ASTM D4740</w:t>
            </w:r>
          </w:p>
        </w:tc>
      </w:tr>
      <w:tr>
        <w:tblPrEx>
          <w:tblCellMar>
            <w:top w:w="0" w:type="dxa"/>
            <w:left w:w="108" w:type="dxa"/>
            <w:bottom w:w="0" w:type="dxa"/>
            <w:right w:w="108" w:type="dxa"/>
          </w:tblCellMar>
        </w:tblPrEx>
        <w:trPr>
          <w:trHeight w:val="406" w:hRule="atLeast"/>
        </w:trPr>
        <w:tc>
          <w:tcPr>
            <w:tcW w:w="2753" w:type="dxa"/>
            <w:tcBorders>
              <w:top w:val="single" w:color="000000" w:sz="4" w:space="0"/>
              <w:left w:val="single" w:color="000000" w:sz="8"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相容性*</w:t>
            </w:r>
          </w:p>
        </w:tc>
        <w:tc>
          <w:tcPr>
            <w:tcW w:w="10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98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8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7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89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167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客户方法</w:t>
            </w:r>
          </w:p>
        </w:tc>
      </w:tr>
      <w:tr>
        <w:tblPrEx>
          <w:tblCellMar>
            <w:top w:w="0" w:type="dxa"/>
            <w:left w:w="108" w:type="dxa"/>
            <w:bottom w:w="0" w:type="dxa"/>
            <w:right w:w="108" w:type="dxa"/>
          </w:tblCellMar>
        </w:tblPrEx>
        <w:trPr>
          <w:trHeight w:val="406" w:hRule="atLeast"/>
        </w:trPr>
        <w:tc>
          <w:tcPr>
            <w:tcW w:w="2753" w:type="dxa"/>
            <w:tcBorders>
              <w:top w:val="single" w:color="000000" w:sz="4" w:space="0"/>
              <w:left w:val="single" w:color="000000" w:sz="8"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稳定性</w:t>
            </w:r>
          </w:p>
        </w:tc>
        <w:tc>
          <w:tcPr>
            <w:tcW w:w="10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98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8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7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89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167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ASTM D7061</w:t>
            </w:r>
          </w:p>
        </w:tc>
      </w:tr>
      <w:tr>
        <w:tblPrEx>
          <w:tblCellMar>
            <w:top w:w="0" w:type="dxa"/>
            <w:left w:w="108" w:type="dxa"/>
            <w:bottom w:w="0" w:type="dxa"/>
            <w:right w:w="108" w:type="dxa"/>
          </w:tblCellMar>
        </w:tblPrEx>
        <w:trPr>
          <w:trHeight w:val="406" w:hRule="atLeast"/>
        </w:trPr>
        <w:tc>
          <w:tcPr>
            <w:tcW w:w="2753" w:type="dxa"/>
            <w:tcBorders>
              <w:top w:val="single" w:color="000000" w:sz="4" w:space="0"/>
              <w:left w:val="single" w:color="000000" w:sz="8"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沥青质，％（m/m）</w:t>
            </w:r>
          </w:p>
        </w:tc>
        <w:tc>
          <w:tcPr>
            <w:tcW w:w="10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2.25</w:t>
            </w:r>
          </w:p>
        </w:tc>
        <w:tc>
          <w:tcPr>
            <w:tcW w:w="98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1.81</w:t>
            </w:r>
          </w:p>
        </w:tc>
        <w:tc>
          <w:tcPr>
            <w:tcW w:w="8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1.45</w:t>
            </w:r>
          </w:p>
        </w:tc>
        <w:tc>
          <w:tcPr>
            <w:tcW w:w="7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0.87</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0.78</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0.49</w:t>
            </w:r>
          </w:p>
        </w:tc>
        <w:tc>
          <w:tcPr>
            <w:tcW w:w="89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167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SH/T0266</w:t>
            </w:r>
          </w:p>
        </w:tc>
      </w:tr>
      <w:tr>
        <w:tblPrEx>
          <w:tblCellMar>
            <w:top w:w="0" w:type="dxa"/>
            <w:left w:w="108" w:type="dxa"/>
            <w:bottom w:w="0" w:type="dxa"/>
            <w:right w:w="108" w:type="dxa"/>
          </w:tblCellMar>
        </w:tblPrEx>
        <w:trPr>
          <w:trHeight w:val="625" w:hRule="atLeast"/>
        </w:trPr>
        <w:tc>
          <w:tcPr>
            <w:tcW w:w="2753" w:type="dxa"/>
            <w:tcBorders>
              <w:top w:val="single" w:color="000000" w:sz="4" w:space="0"/>
              <w:left w:val="single" w:color="000000" w:sz="8"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CCAI</w:t>
            </w:r>
          </w:p>
        </w:tc>
        <w:tc>
          <w:tcPr>
            <w:tcW w:w="10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825</w:t>
            </w:r>
          </w:p>
        </w:tc>
        <w:tc>
          <w:tcPr>
            <w:tcW w:w="98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825</w:t>
            </w:r>
          </w:p>
        </w:tc>
        <w:tc>
          <w:tcPr>
            <w:tcW w:w="8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825</w:t>
            </w:r>
          </w:p>
        </w:tc>
        <w:tc>
          <w:tcPr>
            <w:tcW w:w="7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824</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823</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822</w:t>
            </w:r>
          </w:p>
        </w:tc>
        <w:tc>
          <w:tcPr>
            <w:tcW w:w="89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167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GB/T 17411 附录F</w:t>
            </w:r>
          </w:p>
        </w:tc>
      </w:tr>
      <w:tr>
        <w:tblPrEx>
          <w:tblCellMar>
            <w:top w:w="0" w:type="dxa"/>
            <w:left w:w="108" w:type="dxa"/>
            <w:bottom w:w="0" w:type="dxa"/>
            <w:right w:w="108" w:type="dxa"/>
          </w:tblCellMar>
        </w:tblPrEx>
        <w:trPr>
          <w:trHeight w:val="406" w:hRule="atLeast"/>
        </w:trPr>
        <w:tc>
          <w:tcPr>
            <w:tcW w:w="2753" w:type="dxa"/>
            <w:vMerge w:val="restart"/>
            <w:tcBorders>
              <w:top w:val="single" w:color="000000" w:sz="4" w:space="0"/>
              <w:left w:val="single" w:color="000000" w:sz="8"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馏程</w:t>
            </w:r>
          </w:p>
        </w:tc>
        <w:tc>
          <w:tcPr>
            <w:tcW w:w="10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50%</w:t>
            </w:r>
          </w:p>
        </w:tc>
        <w:tc>
          <w:tcPr>
            <w:tcW w:w="98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8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7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89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331.4</w:t>
            </w:r>
          </w:p>
        </w:tc>
        <w:tc>
          <w:tcPr>
            <w:tcW w:w="1675" w:type="dxa"/>
            <w:vMerge w:val="restart"/>
            <w:tcBorders>
              <w:top w:val="single" w:color="000000" w:sz="4" w:space="0"/>
              <w:left w:val="single" w:color="000000" w:sz="4" w:space="0"/>
              <w:bottom w:val="single" w:color="000000" w:sz="4" w:space="0"/>
              <w:right w:val="single" w:color="000000" w:sz="8"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GB/T 6536</w:t>
            </w:r>
          </w:p>
        </w:tc>
      </w:tr>
      <w:tr>
        <w:tblPrEx>
          <w:tblCellMar>
            <w:top w:w="0" w:type="dxa"/>
            <w:left w:w="108" w:type="dxa"/>
            <w:bottom w:w="0" w:type="dxa"/>
            <w:right w:w="108" w:type="dxa"/>
          </w:tblCellMar>
        </w:tblPrEx>
        <w:trPr>
          <w:trHeight w:val="406" w:hRule="atLeast"/>
        </w:trPr>
        <w:tc>
          <w:tcPr>
            <w:tcW w:w="2753" w:type="dxa"/>
            <w:vMerge w:val="continue"/>
            <w:tcBorders>
              <w:top w:val="single" w:color="000000" w:sz="4" w:space="0"/>
              <w:left w:val="single" w:color="000000" w:sz="8" w:space="0"/>
              <w:bottom w:val="single" w:color="000000" w:sz="4" w:space="0"/>
              <w:right w:val="single" w:color="000000" w:sz="4" w:space="0"/>
            </w:tcBorders>
            <w:noWrap/>
            <w:vAlign w:val="center"/>
          </w:tcPr>
          <w:p>
            <w:pPr>
              <w:jc w:val="center"/>
              <w:rPr>
                <w:rFonts w:ascii="宋体" w:hAnsi="宋体" w:eastAsia="宋体" w:cs="宋体"/>
                <w:b/>
                <w:bCs/>
                <w:color w:val="000000"/>
                <w:sz w:val="20"/>
                <w:szCs w:val="20"/>
              </w:rPr>
            </w:pPr>
          </w:p>
        </w:tc>
        <w:tc>
          <w:tcPr>
            <w:tcW w:w="10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90%</w:t>
            </w:r>
          </w:p>
        </w:tc>
        <w:tc>
          <w:tcPr>
            <w:tcW w:w="98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8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7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89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342.2</w:t>
            </w:r>
          </w:p>
        </w:tc>
        <w:tc>
          <w:tcPr>
            <w:tcW w:w="1675" w:type="dxa"/>
            <w:vMerge w:val="continue"/>
            <w:tcBorders>
              <w:top w:val="single" w:color="000000" w:sz="4" w:space="0"/>
              <w:left w:val="single" w:color="000000" w:sz="4" w:space="0"/>
              <w:bottom w:val="single" w:color="000000" w:sz="4" w:space="0"/>
              <w:right w:val="single" w:color="000000" w:sz="8" w:space="0"/>
            </w:tcBorders>
            <w:noWrap/>
            <w:vAlign w:val="center"/>
          </w:tcPr>
          <w:p>
            <w:pPr>
              <w:jc w:val="center"/>
              <w:rPr>
                <w:rFonts w:ascii="宋体" w:hAnsi="宋体" w:eastAsia="宋体" w:cs="宋体"/>
                <w:b/>
                <w:bCs/>
                <w:color w:val="000000"/>
                <w:sz w:val="20"/>
                <w:szCs w:val="20"/>
              </w:rPr>
            </w:pPr>
          </w:p>
        </w:tc>
      </w:tr>
      <w:tr>
        <w:tblPrEx>
          <w:tblCellMar>
            <w:top w:w="0" w:type="dxa"/>
            <w:left w:w="108" w:type="dxa"/>
            <w:bottom w:w="0" w:type="dxa"/>
            <w:right w:w="108" w:type="dxa"/>
          </w:tblCellMar>
        </w:tblPrEx>
        <w:trPr>
          <w:trHeight w:val="406" w:hRule="atLeast"/>
        </w:trPr>
        <w:tc>
          <w:tcPr>
            <w:tcW w:w="2753" w:type="dxa"/>
            <w:vMerge w:val="continue"/>
            <w:tcBorders>
              <w:top w:val="single" w:color="000000" w:sz="4" w:space="0"/>
              <w:left w:val="single" w:color="000000" w:sz="8" w:space="0"/>
              <w:bottom w:val="single" w:color="000000" w:sz="4" w:space="0"/>
              <w:right w:val="single" w:color="000000" w:sz="4" w:space="0"/>
            </w:tcBorders>
            <w:noWrap/>
            <w:vAlign w:val="center"/>
          </w:tcPr>
          <w:p>
            <w:pPr>
              <w:jc w:val="center"/>
              <w:rPr>
                <w:rFonts w:ascii="宋体" w:hAnsi="宋体" w:eastAsia="宋体" w:cs="宋体"/>
                <w:b/>
                <w:bCs/>
                <w:color w:val="000000"/>
                <w:sz w:val="20"/>
                <w:szCs w:val="20"/>
              </w:rPr>
            </w:pPr>
          </w:p>
        </w:tc>
        <w:tc>
          <w:tcPr>
            <w:tcW w:w="10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95%</w:t>
            </w:r>
          </w:p>
        </w:tc>
        <w:tc>
          <w:tcPr>
            <w:tcW w:w="98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8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7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p>
        </w:tc>
        <w:tc>
          <w:tcPr>
            <w:tcW w:w="89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349.8</w:t>
            </w:r>
          </w:p>
        </w:tc>
        <w:tc>
          <w:tcPr>
            <w:tcW w:w="1675" w:type="dxa"/>
            <w:vMerge w:val="continue"/>
            <w:tcBorders>
              <w:top w:val="single" w:color="000000" w:sz="4" w:space="0"/>
              <w:left w:val="single" w:color="000000" w:sz="4" w:space="0"/>
              <w:bottom w:val="single" w:color="000000" w:sz="4" w:space="0"/>
              <w:right w:val="single" w:color="000000" w:sz="8" w:space="0"/>
            </w:tcBorders>
            <w:noWrap/>
            <w:vAlign w:val="center"/>
          </w:tcPr>
          <w:p>
            <w:pPr>
              <w:jc w:val="center"/>
              <w:rPr>
                <w:rFonts w:ascii="宋体" w:hAnsi="宋体" w:eastAsia="宋体" w:cs="宋体"/>
                <w:b/>
                <w:bCs/>
                <w:color w:val="000000"/>
                <w:sz w:val="20"/>
                <w:szCs w:val="20"/>
              </w:rPr>
            </w:pPr>
          </w:p>
        </w:tc>
      </w:tr>
      <w:tr>
        <w:tblPrEx>
          <w:tblCellMar>
            <w:top w:w="0" w:type="dxa"/>
            <w:left w:w="108" w:type="dxa"/>
            <w:bottom w:w="0" w:type="dxa"/>
            <w:right w:w="108" w:type="dxa"/>
          </w:tblCellMar>
        </w:tblPrEx>
        <w:trPr>
          <w:trHeight w:val="406" w:hRule="atLeast"/>
        </w:trPr>
        <w:tc>
          <w:tcPr>
            <w:tcW w:w="2753" w:type="dxa"/>
            <w:tcBorders>
              <w:top w:val="single" w:color="000000" w:sz="4" w:space="0"/>
              <w:left w:val="single" w:color="000000" w:sz="8"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元素（铝），mg/kg</w:t>
            </w:r>
          </w:p>
        </w:tc>
        <w:tc>
          <w:tcPr>
            <w:tcW w:w="1087"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11</w:t>
            </w:r>
          </w:p>
        </w:tc>
        <w:tc>
          <w:tcPr>
            <w:tcW w:w="984"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10</w:t>
            </w:r>
          </w:p>
        </w:tc>
        <w:tc>
          <w:tcPr>
            <w:tcW w:w="815"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10</w:t>
            </w:r>
          </w:p>
        </w:tc>
        <w:tc>
          <w:tcPr>
            <w:tcW w:w="799"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6</w:t>
            </w:r>
          </w:p>
        </w:tc>
        <w:tc>
          <w:tcPr>
            <w:tcW w:w="776"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6</w:t>
            </w:r>
          </w:p>
        </w:tc>
        <w:tc>
          <w:tcPr>
            <w:tcW w:w="787"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6</w:t>
            </w:r>
          </w:p>
        </w:tc>
        <w:tc>
          <w:tcPr>
            <w:tcW w:w="893"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1675"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IP 501</w:t>
            </w:r>
          </w:p>
        </w:tc>
      </w:tr>
      <w:tr>
        <w:tblPrEx>
          <w:tblCellMar>
            <w:top w:w="0" w:type="dxa"/>
            <w:left w:w="108" w:type="dxa"/>
            <w:bottom w:w="0" w:type="dxa"/>
            <w:right w:w="108" w:type="dxa"/>
          </w:tblCellMar>
        </w:tblPrEx>
        <w:trPr>
          <w:trHeight w:val="406" w:hRule="atLeast"/>
        </w:trPr>
        <w:tc>
          <w:tcPr>
            <w:tcW w:w="2753" w:type="dxa"/>
            <w:tcBorders>
              <w:top w:val="single" w:color="000000" w:sz="4" w:space="0"/>
              <w:left w:val="single" w:color="000000" w:sz="8"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元素（硅），mg/kg</w:t>
            </w:r>
          </w:p>
        </w:tc>
        <w:tc>
          <w:tcPr>
            <w:tcW w:w="1087"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0"/>
                <w:szCs w:val="20"/>
              </w:rPr>
            </w:pPr>
          </w:p>
        </w:tc>
        <w:tc>
          <w:tcPr>
            <w:tcW w:w="984"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0"/>
                <w:szCs w:val="20"/>
              </w:rPr>
            </w:pPr>
          </w:p>
        </w:tc>
        <w:tc>
          <w:tcPr>
            <w:tcW w:w="81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0"/>
                <w:szCs w:val="20"/>
              </w:rPr>
            </w:pPr>
          </w:p>
        </w:tc>
        <w:tc>
          <w:tcPr>
            <w:tcW w:w="79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0"/>
                <w:szCs w:val="20"/>
              </w:rPr>
            </w:pPr>
          </w:p>
        </w:tc>
        <w:tc>
          <w:tcPr>
            <w:tcW w:w="77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0"/>
                <w:szCs w:val="20"/>
              </w:rPr>
            </w:pPr>
          </w:p>
        </w:tc>
        <w:tc>
          <w:tcPr>
            <w:tcW w:w="787"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0"/>
                <w:szCs w:val="20"/>
              </w:rPr>
            </w:pPr>
          </w:p>
        </w:tc>
        <w:tc>
          <w:tcPr>
            <w:tcW w:w="893"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0"/>
                <w:szCs w:val="20"/>
              </w:rPr>
            </w:pPr>
          </w:p>
        </w:tc>
        <w:tc>
          <w:tcPr>
            <w:tcW w:w="167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b/>
                <w:bCs/>
                <w:color w:val="000000"/>
                <w:sz w:val="20"/>
                <w:szCs w:val="20"/>
              </w:rPr>
            </w:pPr>
          </w:p>
        </w:tc>
      </w:tr>
      <w:tr>
        <w:tblPrEx>
          <w:tblCellMar>
            <w:top w:w="0" w:type="dxa"/>
            <w:left w:w="108" w:type="dxa"/>
            <w:bottom w:w="0" w:type="dxa"/>
            <w:right w:w="108" w:type="dxa"/>
          </w:tblCellMar>
        </w:tblPrEx>
        <w:trPr>
          <w:trHeight w:val="406" w:hRule="atLeast"/>
        </w:trPr>
        <w:tc>
          <w:tcPr>
            <w:tcW w:w="2753" w:type="dxa"/>
            <w:tcBorders>
              <w:top w:val="single" w:color="000000" w:sz="4" w:space="0"/>
              <w:left w:val="single" w:color="000000" w:sz="8"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元素（钒），mg/kg</w:t>
            </w:r>
          </w:p>
        </w:tc>
        <w:tc>
          <w:tcPr>
            <w:tcW w:w="10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w:t>
            </w:r>
          </w:p>
        </w:tc>
        <w:tc>
          <w:tcPr>
            <w:tcW w:w="98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8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7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89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167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b/>
                <w:bCs/>
                <w:color w:val="000000"/>
                <w:sz w:val="20"/>
                <w:szCs w:val="20"/>
              </w:rPr>
            </w:pPr>
          </w:p>
        </w:tc>
      </w:tr>
      <w:tr>
        <w:tblPrEx>
          <w:tblCellMar>
            <w:top w:w="0" w:type="dxa"/>
            <w:left w:w="108" w:type="dxa"/>
            <w:bottom w:w="0" w:type="dxa"/>
            <w:right w:w="108" w:type="dxa"/>
          </w:tblCellMar>
        </w:tblPrEx>
        <w:trPr>
          <w:trHeight w:val="406" w:hRule="atLeast"/>
        </w:trPr>
        <w:tc>
          <w:tcPr>
            <w:tcW w:w="2753" w:type="dxa"/>
            <w:tcBorders>
              <w:top w:val="single" w:color="000000" w:sz="4" w:space="0"/>
              <w:left w:val="single" w:color="000000" w:sz="8"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元素（钠），mg/kg</w:t>
            </w:r>
          </w:p>
        </w:tc>
        <w:tc>
          <w:tcPr>
            <w:tcW w:w="10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22</w:t>
            </w:r>
          </w:p>
        </w:tc>
        <w:tc>
          <w:tcPr>
            <w:tcW w:w="98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20</w:t>
            </w:r>
          </w:p>
        </w:tc>
        <w:tc>
          <w:tcPr>
            <w:tcW w:w="8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20</w:t>
            </w:r>
          </w:p>
        </w:tc>
        <w:tc>
          <w:tcPr>
            <w:tcW w:w="7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16</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13</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11</w:t>
            </w:r>
          </w:p>
        </w:tc>
        <w:tc>
          <w:tcPr>
            <w:tcW w:w="89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167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b/>
                <w:bCs/>
                <w:color w:val="000000"/>
                <w:sz w:val="20"/>
                <w:szCs w:val="20"/>
              </w:rPr>
            </w:pPr>
          </w:p>
        </w:tc>
      </w:tr>
      <w:tr>
        <w:tblPrEx>
          <w:tblCellMar>
            <w:top w:w="0" w:type="dxa"/>
            <w:left w:w="108" w:type="dxa"/>
            <w:bottom w:w="0" w:type="dxa"/>
            <w:right w:w="108" w:type="dxa"/>
          </w:tblCellMar>
        </w:tblPrEx>
        <w:trPr>
          <w:trHeight w:val="406" w:hRule="atLeast"/>
        </w:trPr>
        <w:tc>
          <w:tcPr>
            <w:tcW w:w="2753" w:type="dxa"/>
            <w:tcBorders>
              <w:top w:val="single" w:color="000000" w:sz="4" w:space="0"/>
              <w:left w:val="single" w:color="000000" w:sz="8"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元素（钙），mg/kg</w:t>
            </w:r>
          </w:p>
        </w:tc>
        <w:tc>
          <w:tcPr>
            <w:tcW w:w="10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75</w:t>
            </w:r>
          </w:p>
        </w:tc>
        <w:tc>
          <w:tcPr>
            <w:tcW w:w="98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66</w:t>
            </w:r>
          </w:p>
        </w:tc>
        <w:tc>
          <w:tcPr>
            <w:tcW w:w="8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71</w:t>
            </w:r>
          </w:p>
        </w:tc>
        <w:tc>
          <w:tcPr>
            <w:tcW w:w="7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56</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53</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40</w:t>
            </w:r>
          </w:p>
        </w:tc>
        <w:tc>
          <w:tcPr>
            <w:tcW w:w="89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167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b/>
                <w:bCs/>
                <w:color w:val="000000"/>
                <w:sz w:val="20"/>
                <w:szCs w:val="20"/>
              </w:rPr>
            </w:pPr>
          </w:p>
        </w:tc>
      </w:tr>
      <w:tr>
        <w:tblPrEx>
          <w:tblCellMar>
            <w:top w:w="0" w:type="dxa"/>
            <w:left w:w="108" w:type="dxa"/>
            <w:bottom w:w="0" w:type="dxa"/>
            <w:right w:w="108" w:type="dxa"/>
          </w:tblCellMar>
        </w:tblPrEx>
        <w:trPr>
          <w:trHeight w:val="406" w:hRule="atLeast"/>
        </w:trPr>
        <w:tc>
          <w:tcPr>
            <w:tcW w:w="2753" w:type="dxa"/>
            <w:tcBorders>
              <w:top w:val="single" w:color="000000" w:sz="4" w:space="0"/>
              <w:left w:val="single" w:color="000000" w:sz="8"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元素（锌），mg/kg</w:t>
            </w:r>
          </w:p>
        </w:tc>
        <w:tc>
          <w:tcPr>
            <w:tcW w:w="10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7</w:t>
            </w:r>
          </w:p>
        </w:tc>
        <w:tc>
          <w:tcPr>
            <w:tcW w:w="98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8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7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89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167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b/>
                <w:bCs/>
                <w:color w:val="000000"/>
                <w:sz w:val="20"/>
                <w:szCs w:val="20"/>
              </w:rPr>
            </w:pPr>
          </w:p>
        </w:tc>
      </w:tr>
      <w:tr>
        <w:tblPrEx>
          <w:tblCellMar>
            <w:top w:w="0" w:type="dxa"/>
            <w:left w:w="108" w:type="dxa"/>
            <w:bottom w:w="0" w:type="dxa"/>
            <w:right w:w="108" w:type="dxa"/>
          </w:tblCellMar>
        </w:tblPrEx>
        <w:trPr>
          <w:trHeight w:val="406" w:hRule="atLeast"/>
        </w:trPr>
        <w:tc>
          <w:tcPr>
            <w:tcW w:w="2753" w:type="dxa"/>
            <w:tcBorders>
              <w:top w:val="single" w:color="000000" w:sz="4" w:space="0"/>
              <w:left w:val="single" w:color="000000" w:sz="8"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元素（磷），mg/kg</w:t>
            </w:r>
          </w:p>
        </w:tc>
        <w:tc>
          <w:tcPr>
            <w:tcW w:w="10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7</w:t>
            </w:r>
          </w:p>
        </w:tc>
        <w:tc>
          <w:tcPr>
            <w:tcW w:w="98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6</w:t>
            </w:r>
          </w:p>
        </w:tc>
        <w:tc>
          <w:tcPr>
            <w:tcW w:w="8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6</w:t>
            </w:r>
          </w:p>
        </w:tc>
        <w:tc>
          <w:tcPr>
            <w:tcW w:w="7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5</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4</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w:t>
            </w:r>
          </w:p>
        </w:tc>
        <w:tc>
          <w:tcPr>
            <w:tcW w:w="89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167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b/>
                <w:bCs/>
                <w:color w:val="000000"/>
                <w:sz w:val="20"/>
                <w:szCs w:val="20"/>
              </w:rPr>
            </w:pPr>
          </w:p>
        </w:tc>
      </w:tr>
      <w:tr>
        <w:tblPrEx>
          <w:tblCellMar>
            <w:top w:w="0" w:type="dxa"/>
            <w:left w:w="108" w:type="dxa"/>
            <w:bottom w:w="0" w:type="dxa"/>
            <w:right w:w="108" w:type="dxa"/>
          </w:tblCellMar>
        </w:tblPrEx>
        <w:trPr>
          <w:trHeight w:val="625" w:hRule="atLeast"/>
        </w:trPr>
        <w:tc>
          <w:tcPr>
            <w:tcW w:w="2753" w:type="dxa"/>
            <w:tcBorders>
              <w:top w:val="single" w:color="000000" w:sz="4" w:space="0"/>
              <w:left w:val="single" w:color="000000" w:sz="8"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净热值，MJ/kg</w:t>
            </w:r>
          </w:p>
        </w:tc>
        <w:tc>
          <w:tcPr>
            <w:tcW w:w="10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40.67</w:t>
            </w:r>
          </w:p>
        </w:tc>
        <w:tc>
          <w:tcPr>
            <w:tcW w:w="98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40.31</w:t>
            </w:r>
          </w:p>
        </w:tc>
        <w:tc>
          <w:tcPr>
            <w:tcW w:w="8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40.41</w:t>
            </w:r>
          </w:p>
        </w:tc>
        <w:tc>
          <w:tcPr>
            <w:tcW w:w="7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40.21</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39.9</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39.48</w:t>
            </w:r>
          </w:p>
        </w:tc>
        <w:tc>
          <w:tcPr>
            <w:tcW w:w="89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38.51</w:t>
            </w:r>
          </w:p>
        </w:tc>
        <w:tc>
          <w:tcPr>
            <w:tcW w:w="1675" w:type="dxa"/>
            <w:tcBorders>
              <w:top w:val="single" w:color="000000" w:sz="4" w:space="0"/>
              <w:left w:val="single" w:color="000000" w:sz="4" w:space="0"/>
              <w:bottom w:val="nil"/>
              <w:right w:val="single" w:color="000000" w:sz="8"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GB/T 384</w:t>
            </w:r>
          </w:p>
        </w:tc>
      </w:tr>
      <w:tr>
        <w:tblPrEx>
          <w:tblCellMar>
            <w:top w:w="0" w:type="dxa"/>
            <w:left w:w="108" w:type="dxa"/>
            <w:bottom w:w="0" w:type="dxa"/>
            <w:right w:w="108" w:type="dxa"/>
          </w:tblCellMar>
        </w:tblPrEx>
        <w:trPr>
          <w:trHeight w:val="625" w:hRule="atLeast"/>
        </w:trPr>
        <w:tc>
          <w:tcPr>
            <w:tcW w:w="2753"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净热值，MJ/kg</w:t>
            </w:r>
          </w:p>
        </w:tc>
        <w:tc>
          <w:tcPr>
            <w:tcW w:w="108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40.62</w:t>
            </w:r>
          </w:p>
        </w:tc>
        <w:tc>
          <w:tcPr>
            <w:tcW w:w="984"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40.08</w:t>
            </w:r>
          </w:p>
        </w:tc>
        <w:tc>
          <w:tcPr>
            <w:tcW w:w="81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40.18</w:t>
            </w:r>
          </w:p>
        </w:tc>
        <w:tc>
          <w:tcPr>
            <w:tcW w:w="79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39.94</w:t>
            </w:r>
          </w:p>
        </w:tc>
        <w:tc>
          <w:tcPr>
            <w:tcW w:w="77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39.45</w:t>
            </w:r>
          </w:p>
        </w:tc>
        <w:tc>
          <w:tcPr>
            <w:tcW w:w="78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38.85</w:t>
            </w:r>
          </w:p>
        </w:tc>
        <w:tc>
          <w:tcPr>
            <w:tcW w:w="893"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37.18</w:t>
            </w:r>
          </w:p>
        </w:tc>
        <w:tc>
          <w:tcPr>
            <w:tcW w:w="167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ASTM D240</w:t>
            </w:r>
          </w:p>
        </w:tc>
      </w:tr>
      <w:tr>
        <w:tblPrEx>
          <w:tblCellMar>
            <w:top w:w="0" w:type="dxa"/>
            <w:left w:w="108" w:type="dxa"/>
            <w:bottom w:w="0" w:type="dxa"/>
            <w:right w:w="108" w:type="dxa"/>
          </w:tblCellMar>
        </w:tblPrEx>
        <w:trPr>
          <w:trHeight w:val="625" w:hRule="atLeast"/>
        </w:trPr>
        <w:tc>
          <w:tcPr>
            <w:tcW w:w="2753" w:type="dxa"/>
            <w:tcBorders>
              <w:top w:val="single" w:color="000000" w:sz="4" w:space="0"/>
              <w:left w:val="single" w:color="000000" w:sz="8"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碳，％（质量分数）</w:t>
            </w:r>
          </w:p>
        </w:tc>
        <w:tc>
          <w:tcPr>
            <w:tcW w:w="10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86.48</w:t>
            </w:r>
          </w:p>
        </w:tc>
        <w:tc>
          <w:tcPr>
            <w:tcW w:w="98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85.05</w:t>
            </w:r>
          </w:p>
        </w:tc>
        <w:tc>
          <w:tcPr>
            <w:tcW w:w="8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85.4</w:t>
            </w:r>
          </w:p>
        </w:tc>
        <w:tc>
          <w:tcPr>
            <w:tcW w:w="7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84.62</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83.46</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81.60</w:t>
            </w:r>
          </w:p>
        </w:tc>
        <w:tc>
          <w:tcPr>
            <w:tcW w:w="89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77.10</w:t>
            </w:r>
          </w:p>
        </w:tc>
        <w:tc>
          <w:tcPr>
            <w:tcW w:w="1675"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ASTM D5291</w:t>
            </w:r>
          </w:p>
        </w:tc>
      </w:tr>
      <w:tr>
        <w:tblPrEx>
          <w:tblCellMar>
            <w:top w:w="0" w:type="dxa"/>
            <w:left w:w="108" w:type="dxa"/>
            <w:bottom w:w="0" w:type="dxa"/>
            <w:right w:w="108" w:type="dxa"/>
          </w:tblCellMar>
        </w:tblPrEx>
        <w:trPr>
          <w:trHeight w:val="625" w:hRule="atLeast"/>
        </w:trPr>
        <w:tc>
          <w:tcPr>
            <w:tcW w:w="2753" w:type="dxa"/>
            <w:tcBorders>
              <w:top w:val="single" w:color="000000" w:sz="4" w:space="0"/>
              <w:left w:val="single" w:color="000000" w:sz="8"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氢，％（质量分数）</w:t>
            </w:r>
          </w:p>
        </w:tc>
        <w:tc>
          <w:tcPr>
            <w:tcW w:w="10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11.75</w:t>
            </w:r>
          </w:p>
        </w:tc>
        <w:tc>
          <w:tcPr>
            <w:tcW w:w="98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11.84</w:t>
            </w:r>
          </w:p>
        </w:tc>
        <w:tc>
          <w:tcPr>
            <w:tcW w:w="8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11.75</w:t>
            </w:r>
          </w:p>
        </w:tc>
        <w:tc>
          <w:tcPr>
            <w:tcW w:w="7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11.83</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12.02</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12.30</w:t>
            </w:r>
          </w:p>
        </w:tc>
        <w:tc>
          <w:tcPr>
            <w:tcW w:w="89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12.75</w:t>
            </w:r>
          </w:p>
        </w:tc>
        <w:tc>
          <w:tcPr>
            <w:tcW w:w="167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b/>
                <w:bCs/>
                <w:color w:val="000000"/>
                <w:sz w:val="20"/>
                <w:szCs w:val="20"/>
              </w:rPr>
            </w:pPr>
          </w:p>
        </w:tc>
      </w:tr>
      <w:tr>
        <w:tblPrEx>
          <w:tblCellMar>
            <w:top w:w="0" w:type="dxa"/>
            <w:left w:w="108" w:type="dxa"/>
            <w:bottom w:w="0" w:type="dxa"/>
            <w:right w:w="108" w:type="dxa"/>
          </w:tblCellMar>
        </w:tblPrEx>
        <w:trPr>
          <w:trHeight w:val="625" w:hRule="atLeast"/>
        </w:trPr>
        <w:tc>
          <w:tcPr>
            <w:tcW w:w="2753" w:type="dxa"/>
            <w:tcBorders>
              <w:top w:val="single" w:color="000000" w:sz="4" w:space="0"/>
              <w:left w:val="single" w:color="000000" w:sz="8"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氧（计算，=100%-氮-碳-氢-硫）</w:t>
            </w:r>
          </w:p>
        </w:tc>
        <w:tc>
          <w:tcPr>
            <w:tcW w:w="10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0.40</w:t>
            </w:r>
          </w:p>
        </w:tc>
        <w:tc>
          <w:tcPr>
            <w:tcW w:w="98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1.97</w:t>
            </w:r>
          </w:p>
        </w:tc>
        <w:tc>
          <w:tcPr>
            <w:tcW w:w="8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1.68</w:t>
            </w:r>
          </w:p>
        </w:tc>
        <w:tc>
          <w:tcPr>
            <w:tcW w:w="7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2.53</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3.63</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5.44</w:t>
            </w:r>
          </w:p>
        </w:tc>
        <w:tc>
          <w:tcPr>
            <w:tcW w:w="89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10.15</w:t>
            </w:r>
          </w:p>
        </w:tc>
        <w:tc>
          <w:tcPr>
            <w:tcW w:w="167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b/>
                <w:bCs/>
                <w:color w:val="000000"/>
                <w:sz w:val="20"/>
                <w:szCs w:val="20"/>
              </w:rPr>
            </w:pPr>
          </w:p>
        </w:tc>
      </w:tr>
      <w:tr>
        <w:tblPrEx>
          <w:tblCellMar>
            <w:top w:w="0" w:type="dxa"/>
            <w:left w:w="108" w:type="dxa"/>
            <w:bottom w:w="0" w:type="dxa"/>
            <w:right w:w="108" w:type="dxa"/>
          </w:tblCellMar>
        </w:tblPrEx>
        <w:trPr>
          <w:trHeight w:val="625" w:hRule="atLeast"/>
        </w:trPr>
        <w:tc>
          <w:tcPr>
            <w:tcW w:w="2753" w:type="dxa"/>
            <w:tcBorders>
              <w:top w:val="single" w:color="000000" w:sz="4" w:space="0"/>
              <w:left w:val="single" w:color="000000" w:sz="8"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氮，％（质量分数）</w:t>
            </w:r>
          </w:p>
        </w:tc>
        <w:tc>
          <w:tcPr>
            <w:tcW w:w="10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0.89</w:t>
            </w:r>
          </w:p>
        </w:tc>
        <w:tc>
          <w:tcPr>
            <w:tcW w:w="98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0.73</w:t>
            </w:r>
          </w:p>
        </w:tc>
        <w:tc>
          <w:tcPr>
            <w:tcW w:w="8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0.75</w:t>
            </w:r>
          </w:p>
        </w:tc>
        <w:tc>
          <w:tcPr>
            <w:tcW w:w="7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0.64</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0.57</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0.42</w:t>
            </w:r>
          </w:p>
        </w:tc>
        <w:tc>
          <w:tcPr>
            <w:tcW w:w="89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0</w:t>
            </w:r>
          </w:p>
        </w:tc>
        <w:tc>
          <w:tcPr>
            <w:tcW w:w="167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ASTM D5291</w:t>
            </w:r>
          </w:p>
        </w:tc>
      </w:tr>
      <w:tr>
        <w:tblPrEx>
          <w:tblCellMar>
            <w:top w:w="0" w:type="dxa"/>
            <w:left w:w="108" w:type="dxa"/>
            <w:bottom w:w="0" w:type="dxa"/>
            <w:right w:w="108" w:type="dxa"/>
          </w:tblCellMar>
        </w:tblPrEx>
        <w:trPr>
          <w:trHeight w:val="635" w:hRule="atLeast"/>
        </w:trPr>
        <w:tc>
          <w:tcPr>
            <w:tcW w:w="2753" w:type="dxa"/>
            <w:tcBorders>
              <w:top w:val="single" w:color="000000" w:sz="4" w:space="0"/>
              <w:left w:val="single" w:color="000000" w:sz="8"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脂肪酸甲酯，％（质量分数）</w:t>
            </w:r>
          </w:p>
        </w:tc>
        <w:tc>
          <w:tcPr>
            <w:tcW w:w="1087"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0"/>
                <w:szCs w:val="20"/>
              </w:rPr>
            </w:pPr>
            <w:r>
              <w:rPr>
                <w:rFonts w:hint="eastAsia" w:ascii="宋体" w:hAnsi="宋体" w:eastAsia="宋体" w:cs="宋体"/>
                <w:color w:val="000000"/>
                <w:sz w:val="20"/>
                <w:szCs w:val="20"/>
              </w:rPr>
              <w:t>0.70</w:t>
            </w:r>
          </w:p>
        </w:tc>
        <w:tc>
          <w:tcPr>
            <w:tcW w:w="984"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0"/>
                <w:szCs w:val="20"/>
              </w:rPr>
            </w:pPr>
            <w:r>
              <w:rPr>
                <w:rFonts w:hint="eastAsia" w:ascii="宋体" w:hAnsi="宋体" w:eastAsia="宋体" w:cs="宋体"/>
                <w:color w:val="000000"/>
                <w:sz w:val="20"/>
                <w:szCs w:val="20"/>
              </w:rPr>
              <w:t>14.30</w:t>
            </w:r>
          </w:p>
        </w:tc>
        <w:tc>
          <w:tcPr>
            <w:tcW w:w="81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0"/>
                <w:szCs w:val="20"/>
              </w:rPr>
            </w:pPr>
            <w:r>
              <w:rPr>
                <w:rFonts w:hint="eastAsia" w:ascii="宋体" w:hAnsi="宋体" w:eastAsia="宋体" w:cs="宋体"/>
                <w:color w:val="000000"/>
                <w:sz w:val="20"/>
                <w:szCs w:val="20"/>
              </w:rPr>
              <w:t>14.72</w:t>
            </w:r>
          </w:p>
        </w:tc>
        <w:tc>
          <w:tcPr>
            <w:tcW w:w="79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0"/>
                <w:szCs w:val="20"/>
              </w:rPr>
            </w:pPr>
            <w:r>
              <w:rPr>
                <w:rFonts w:hint="eastAsia" w:ascii="宋体" w:hAnsi="宋体" w:eastAsia="宋体" w:cs="宋体"/>
                <w:color w:val="000000"/>
                <w:sz w:val="20"/>
                <w:szCs w:val="20"/>
              </w:rPr>
              <w:t>23.82</w:t>
            </w:r>
          </w:p>
        </w:tc>
        <w:tc>
          <w:tcPr>
            <w:tcW w:w="776"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0"/>
                <w:szCs w:val="20"/>
              </w:rPr>
            </w:pPr>
            <w:r>
              <w:rPr>
                <w:rFonts w:hint="eastAsia" w:ascii="宋体" w:hAnsi="宋体" w:eastAsia="宋体" w:cs="宋体"/>
                <w:color w:val="000000"/>
                <w:sz w:val="20"/>
                <w:szCs w:val="20"/>
              </w:rPr>
              <w:t>29.30</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0"/>
                <w:szCs w:val="20"/>
              </w:rPr>
            </w:pPr>
            <w:r>
              <w:rPr>
                <w:rFonts w:hint="eastAsia" w:ascii="宋体" w:hAnsi="宋体" w:eastAsia="宋体" w:cs="宋体"/>
                <w:color w:val="000000"/>
                <w:sz w:val="20"/>
                <w:szCs w:val="20"/>
              </w:rPr>
              <w:t>49.42</w:t>
            </w:r>
          </w:p>
        </w:tc>
        <w:tc>
          <w:tcPr>
            <w:tcW w:w="893"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color w:val="000000"/>
                <w:sz w:val="20"/>
                <w:szCs w:val="20"/>
              </w:rPr>
            </w:pPr>
            <w:r>
              <w:rPr>
                <w:rFonts w:hint="eastAsia" w:ascii="宋体" w:hAnsi="宋体" w:eastAsia="宋体" w:cs="宋体"/>
                <w:color w:val="000000"/>
                <w:sz w:val="20"/>
                <w:szCs w:val="20"/>
              </w:rPr>
              <w:t>98.50</w:t>
            </w:r>
          </w:p>
        </w:tc>
        <w:tc>
          <w:tcPr>
            <w:tcW w:w="167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NB/SH/T 0831</w:t>
            </w:r>
          </w:p>
        </w:tc>
      </w:tr>
    </w:tbl>
    <w:p>
      <w:pPr>
        <w:spacing w:line="360" w:lineRule="auto"/>
        <w:ind w:firstLine="420" w:firstLineChars="200"/>
        <w:rPr>
          <w:rFonts w:eastAsia="宋体"/>
        </w:rPr>
      </w:pPr>
      <w:r>
        <w:rPr>
          <w:rFonts w:hint="eastAsia" w:eastAsia="宋体"/>
        </w:rPr>
        <w:t>根据台架试验数据，发现生物燃料的净热值采用GB/T 384和ASTM D240方法测试结果有差异，采用ASTM D240方法测试结果与台架试验数据更吻合。</w:t>
      </w:r>
    </w:p>
    <w:p>
      <w:pPr>
        <w:spacing w:line="360" w:lineRule="auto"/>
        <w:ind w:firstLine="420" w:firstLineChars="200"/>
        <w:rPr>
          <w:rFonts w:eastAsia="宋体"/>
        </w:rPr>
      </w:pPr>
      <w:r>
        <w:rPr>
          <w:rFonts w:hint="eastAsia" w:eastAsia="宋体"/>
        </w:rPr>
        <w:t>为了进一步的验证该文件确定指标的合理性，实验室选取了两个高粘度船用残渣燃料油调和B20和B24,实验数据见下表（表9及表10）：</w:t>
      </w:r>
    </w:p>
    <w:p>
      <w:pPr>
        <w:spacing w:line="360" w:lineRule="auto"/>
        <w:jc w:val="center"/>
        <w:rPr>
          <w:rFonts w:eastAsia="宋体"/>
        </w:rPr>
      </w:pPr>
      <w:r>
        <w:rPr>
          <w:rFonts w:hint="eastAsia" w:eastAsia="宋体"/>
        </w:rPr>
        <w:t>表9 高粘度船用残渣燃料油部分指标值</w:t>
      </w:r>
    </w:p>
    <w:tbl>
      <w:tblPr>
        <w:tblStyle w:val="4"/>
        <w:tblW w:w="8980" w:type="dxa"/>
        <w:tblInd w:w="96" w:type="dxa"/>
        <w:tblLayout w:type="fixed"/>
        <w:tblCellMar>
          <w:top w:w="0" w:type="dxa"/>
          <w:left w:w="108" w:type="dxa"/>
          <w:bottom w:w="0" w:type="dxa"/>
          <w:right w:w="108" w:type="dxa"/>
        </w:tblCellMar>
      </w:tblPr>
      <w:tblGrid>
        <w:gridCol w:w="753"/>
        <w:gridCol w:w="1570"/>
        <w:gridCol w:w="1451"/>
        <w:gridCol w:w="1452"/>
        <w:gridCol w:w="1307"/>
        <w:gridCol w:w="2447"/>
      </w:tblGrid>
      <w:tr>
        <w:tblPrEx>
          <w:tblCellMar>
            <w:top w:w="0" w:type="dxa"/>
            <w:left w:w="108" w:type="dxa"/>
            <w:bottom w:w="0" w:type="dxa"/>
            <w:right w:w="108" w:type="dxa"/>
          </w:tblCellMar>
        </w:tblPrEx>
        <w:trPr>
          <w:trHeight w:val="632" w:hRule="atLeast"/>
        </w:trPr>
        <w:tc>
          <w:tcPr>
            <w:tcW w:w="8980" w:type="dxa"/>
            <w:gridSpan w:val="6"/>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高粘度船用残渣燃料油结果汇总</w:t>
            </w:r>
          </w:p>
        </w:tc>
      </w:tr>
      <w:tr>
        <w:tblPrEx>
          <w:tblCellMar>
            <w:top w:w="0" w:type="dxa"/>
            <w:left w:w="108" w:type="dxa"/>
            <w:bottom w:w="0" w:type="dxa"/>
            <w:right w:w="108" w:type="dxa"/>
          </w:tblCellMar>
        </w:tblPrEx>
        <w:trPr>
          <w:trHeight w:val="438" w:hRule="atLeast"/>
        </w:trPr>
        <w:tc>
          <w:tcPr>
            <w:tcW w:w="753"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序号</w:t>
            </w:r>
          </w:p>
        </w:tc>
        <w:tc>
          <w:tcPr>
            <w:tcW w:w="1570"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检测项目</w:t>
            </w:r>
          </w:p>
        </w:tc>
        <w:tc>
          <w:tcPr>
            <w:tcW w:w="2903"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结果</w:t>
            </w:r>
          </w:p>
        </w:tc>
        <w:tc>
          <w:tcPr>
            <w:tcW w:w="1307"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单位</w:t>
            </w:r>
          </w:p>
        </w:tc>
        <w:tc>
          <w:tcPr>
            <w:tcW w:w="2447"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检测方法</w:t>
            </w:r>
          </w:p>
        </w:tc>
      </w:tr>
      <w:tr>
        <w:tblPrEx>
          <w:tblCellMar>
            <w:top w:w="0" w:type="dxa"/>
            <w:left w:w="108" w:type="dxa"/>
            <w:bottom w:w="0" w:type="dxa"/>
            <w:right w:w="108" w:type="dxa"/>
          </w:tblCellMar>
        </w:tblPrEx>
        <w:trPr>
          <w:trHeight w:val="758" w:hRule="atLeast"/>
        </w:trPr>
        <w:tc>
          <w:tcPr>
            <w:tcW w:w="753"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b/>
                <w:bCs/>
                <w:color w:val="000000"/>
                <w:sz w:val="22"/>
                <w:szCs w:val="22"/>
              </w:rPr>
            </w:pPr>
          </w:p>
        </w:tc>
        <w:tc>
          <w:tcPr>
            <w:tcW w:w="157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b/>
                <w:bCs/>
                <w:color w:val="000000"/>
                <w:sz w:val="22"/>
                <w:szCs w:val="22"/>
              </w:rPr>
            </w:pPr>
          </w:p>
        </w:tc>
        <w:tc>
          <w:tcPr>
            <w:tcW w:w="145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sz w:val="22"/>
                <w:szCs w:val="22"/>
              </w:rPr>
              <w:t>500燃料油</w:t>
            </w:r>
          </w:p>
        </w:tc>
        <w:tc>
          <w:tcPr>
            <w:tcW w:w="145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sz w:val="22"/>
                <w:szCs w:val="22"/>
              </w:rPr>
              <w:t>700燃料油</w:t>
            </w:r>
          </w:p>
        </w:tc>
        <w:tc>
          <w:tcPr>
            <w:tcW w:w="1307"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b/>
                <w:bCs/>
                <w:color w:val="000000"/>
                <w:sz w:val="22"/>
                <w:szCs w:val="22"/>
              </w:rPr>
            </w:pPr>
          </w:p>
        </w:tc>
        <w:tc>
          <w:tcPr>
            <w:tcW w:w="2447"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eastAsia="宋体" w:cs="宋体"/>
                <w:b/>
                <w:bCs/>
                <w:color w:val="000000"/>
                <w:sz w:val="22"/>
                <w:szCs w:val="22"/>
              </w:rPr>
            </w:pPr>
          </w:p>
        </w:tc>
      </w:tr>
      <w:tr>
        <w:tblPrEx>
          <w:tblCellMar>
            <w:top w:w="0" w:type="dxa"/>
            <w:left w:w="108" w:type="dxa"/>
            <w:bottom w:w="0" w:type="dxa"/>
            <w:right w:w="108" w:type="dxa"/>
          </w:tblCellMar>
        </w:tblPrEx>
        <w:trPr>
          <w:trHeight w:val="438" w:hRule="atLeast"/>
        </w:trPr>
        <w:tc>
          <w:tcPr>
            <w:tcW w:w="75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5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运动粘度50</w:t>
            </w:r>
          </w:p>
        </w:tc>
        <w:tc>
          <w:tcPr>
            <w:tcW w:w="14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416.5</w:t>
            </w:r>
          </w:p>
        </w:tc>
        <w:tc>
          <w:tcPr>
            <w:tcW w:w="145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604.0</w:t>
            </w:r>
          </w:p>
        </w:tc>
        <w:tc>
          <w:tcPr>
            <w:tcW w:w="130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sz w:val="22"/>
                <w:szCs w:val="22"/>
              </w:rPr>
              <w:t>mm</w:t>
            </w:r>
            <w:r>
              <w:rPr>
                <w:rFonts w:hint="eastAsia" w:ascii="宋体" w:hAnsi="宋体" w:eastAsia="宋体" w:cs="宋体"/>
                <w:color w:val="000000"/>
                <w:sz w:val="22"/>
                <w:szCs w:val="22"/>
                <w:vertAlign w:val="superscript"/>
              </w:rPr>
              <w:t>2</w:t>
            </w:r>
            <w:r>
              <w:rPr>
                <w:rFonts w:hint="eastAsia" w:ascii="宋体" w:hAnsi="宋体" w:eastAsia="宋体" w:cs="宋体"/>
                <w:color w:val="000000"/>
                <w:sz w:val="22"/>
                <w:szCs w:val="22"/>
              </w:rPr>
              <w:t>/s</w:t>
            </w:r>
          </w:p>
        </w:tc>
        <w:tc>
          <w:tcPr>
            <w:tcW w:w="244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30515</w:t>
            </w:r>
          </w:p>
        </w:tc>
      </w:tr>
      <w:tr>
        <w:tblPrEx>
          <w:tblCellMar>
            <w:top w:w="0" w:type="dxa"/>
            <w:left w:w="108" w:type="dxa"/>
            <w:bottom w:w="0" w:type="dxa"/>
            <w:right w:w="108" w:type="dxa"/>
          </w:tblCellMar>
        </w:tblPrEx>
        <w:trPr>
          <w:trHeight w:val="512" w:hRule="atLeast"/>
        </w:trPr>
        <w:tc>
          <w:tcPr>
            <w:tcW w:w="75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w:t>
            </w:r>
          </w:p>
        </w:tc>
        <w:tc>
          <w:tcPr>
            <w:tcW w:w="157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密度20</w:t>
            </w:r>
          </w:p>
        </w:tc>
        <w:tc>
          <w:tcPr>
            <w:tcW w:w="14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985.4</w:t>
            </w:r>
          </w:p>
        </w:tc>
        <w:tc>
          <w:tcPr>
            <w:tcW w:w="145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979.0</w:t>
            </w:r>
          </w:p>
        </w:tc>
        <w:tc>
          <w:tcPr>
            <w:tcW w:w="130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kg/m</w:t>
            </w:r>
            <w:r>
              <w:rPr>
                <w:rFonts w:hint="eastAsia" w:ascii="宋体" w:hAnsi="宋体" w:eastAsia="宋体" w:cs="宋体"/>
                <w:color w:val="000000"/>
                <w:kern w:val="0"/>
                <w:sz w:val="22"/>
                <w:szCs w:val="22"/>
                <w:vertAlign w:val="superscript"/>
                <w:lang w:bidi="ar"/>
              </w:rPr>
              <w:t>3</w:t>
            </w:r>
          </w:p>
        </w:tc>
        <w:tc>
          <w:tcPr>
            <w:tcW w:w="244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SH/T 0604</w:t>
            </w:r>
          </w:p>
        </w:tc>
      </w:tr>
    </w:tbl>
    <w:p>
      <w:pPr>
        <w:spacing w:line="360" w:lineRule="auto"/>
        <w:jc w:val="center"/>
        <w:rPr>
          <w:rFonts w:eastAsia="宋体"/>
        </w:rPr>
      </w:pPr>
    </w:p>
    <w:p>
      <w:pPr>
        <w:spacing w:line="360" w:lineRule="auto"/>
        <w:jc w:val="center"/>
        <w:rPr>
          <w:rFonts w:eastAsia="宋体"/>
        </w:rPr>
      </w:pPr>
      <w:r>
        <w:rPr>
          <w:rFonts w:hint="eastAsia" w:eastAsia="宋体"/>
        </w:rPr>
        <w:t>表10 高粘度船用残渣燃料油调和B20和B24结果</w:t>
      </w:r>
    </w:p>
    <w:tbl>
      <w:tblPr>
        <w:tblStyle w:val="4"/>
        <w:tblW w:w="8880" w:type="dxa"/>
        <w:tblInd w:w="96" w:type="dxa"/>
        <w:tblLayout w:type="autofit"/>
        <w:tblCellMar>
          <w:top w:w="0" w:type="dxa"/>
          <w:left w:w="108" w:type="dxa"/>
          <w:bottom w:w="0" w:type="dxa"/>
          <w:right w:w="108" w:type="dxa"/>
        </w:tblCellMar>
      </w:tblPr>
      <w:tblGrid>
        <w:gridCol w:w="658"/>
        <w:gridCol w:w="1811"/>
        <w:gridCol w:w="1620"/>
        <w:gridCol w:w="1499"/>
        <w:gridCol w:w="986"/>
        <w:gridCol w:w="2306"/>
      </w:tblGrid>
      <w:tr>
        <w:tblPrEx>
          <w:tblCellMar>
            <w:top w:w="0" w:type="dxa"/>
            <w:left w:w="108" w:type="dxa"/>
            <w:bottom w:w="0" w:type="dxa"/>
            <w:right w:w="108" w:type="dxa"/>
          </w:tblCellMar>
        </w:tblPrEx>
        <w:trPr>
          <w:trHeight w:val="441" w:hRule="atLeast"/>
        </w:trPr>
        <w:tc>
          <w:tcPr>
            <w:tcW w:w="8880"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高粘度燃料油调配的船用生物燃料油结果汇总(B20、B24)</w:t>
            </w:r>
          </w:p>
        </w:tc>
      </w:tr>
      <w:tr>
        <w:tblPrEx>
          <w:tblCellMar>
            <w:top w:w="0" w:type="dxa"/>
            <w:left w:w="108" w:type="dxa"/>
            <w:bottom w:w="0" w:type="dxa"/>
            <w:right w:w="108" w:type="dxa"/>
          </w:tblCellMar>
        </w:tblPrEx>
        <w:trPr>
          <w:trHeight w:val="441"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序号</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检测项目</w:t>
            </w:r>
          </w:p>
        </w:tc>
        <w:tc>
          <w:tcPr>
            <w:tcW w:w="0" w:type="auto"/>
            <w:gridSpan w:val="2"/>
            <w:tcBorders>
              <w:top w:val="single" w:color="000000" w:sz="4" w:space="0"/>
              <w:left w:val="single" w:color="000000" w:sz="4" w:space="0"/>
              <w:bottom w:val="single" w:color="000000" w:sz="4" w:space="0"/>
              <w:right w:val="nil"/>
            </w:tcBorders>
            <w:shd w:val="clear" w:color="auto" w:fill="auto"/>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结果</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单位</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检测方法</w:t>
            </w:r>
          </w:p>
        </w:tc>
      </w:tr>
      <w:tr>
        <w:tblPrEx>
          <w:tblCellMar>
            <w:top w:w="0" w:type="dxa"/>
            <w:left w:w="108" w:type="dxa"/>
            <w:bottom w:w="0" w:type="dxa"/>
            <w:right w:w="108" w:type="dxa"/>
          </w:tblCellMar>
        </w:tblPrEx>
        <w:trPr>
          <w:trHeight w:val="7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b/>
                <w:bCs/>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b/>
                <w:bCs/>
                <w:color w:val="000000"/>
                <w:sz w:val="22"/>
                <w:szCs w:val="22"/>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B20(500燃料油调配)</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B24(700燃料油调配)</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b/>
                <w:bCs/>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b/>
                <w:bCs/>
                <w:color w:val="000000"/>
                <w:sz w:val="22"/>
                <w:szCs w:val="22"/>
              </w:rPr>
            </w:pPr>
          </w:p>
        </w:tc>
      </w:tr>
      <w:tr>
        <w:tblPrEx>
          <w:tblCellMar>
            <w:top w:w="0" w:type="dxa"/>
            <w:left w:w="108" w:type="dxa"/>
            <w:bottom w:w="0" w:type="dxa"/>
            <w:right w:w="108" w:type="dxa"/>
          </w:tblCellMar>
        </w:tblPrEx>
        <w:trPr>
          <w:trHeight w:val="44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运动粘度50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86.01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78.44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mm</w:t>
            </w:r>
            <w:r>
              <w:rPr>
                <w:rFonts w:hint="eastAsia" w:ascii="宋体" w:hAnsi="宋体" w:eastAsia="宋体" w:cs="宋体"/>
                <w:color w:val="000000"/>
                <w:kern w:val="0"/>
                <w:sz w:val="22"/>
                <w:szCs w:val="22"/>
                <w:vertAlign w:val="superscript"/>
                <w:lang w:bidi="ar"/>
              </w:rPr>
              <w:t>2</w:t>
            </w:r>
            <w:r>
              <w:rPr>
                <w:rFonts w:hint="eastAsia" w:ascii="宋体" w:hAnsi="宋体" w:eastAsia="宋体" w:cs="宋体"/>
                <w:color w:val="000000"/>
                <w:kern w:val="0"/>
                <w:sz w:val="22"/>
                <w:szCs w:val="22"/>
                <w:lang w:bidi="ar"/>
              </w:rPr>
              <w:t>/s</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30515</w:t>
            </w:r>
          </w:p>
        </w:tc>
      </w:tr>
      <w:tr>
        <w:tblPrEx>
          <w:tblCellMar>
            <w:top w:w="0" w:type="dxa"/>
            <w:left w:w="108" w:type="dxa"/>
            <w:bottom w:w="0" w:type="dxa"/>
            <w:right w:w="108" w:type="dxa"/>
          </w:tblCellMar>
        </w:tblPrEx>
        <w:trPr>
          <w:trHeight w:val="44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密度15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964.3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957.4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kg/m</w:t>
            </w:r>
            <w:r>
              <w:rPr>
                <w:rFonts w:hint="eastAsia" w:ascii="宋体" w:hAnsi="宋体" w:eastAsia="宋体" w:cs="宋体"/>
                <w:color w:val="000000"/>
                <w:kern w:val="0"/>
                <w:sz w:val="22"/>
                <w:szCs w:val="22"/>
                <w:vertAlign w:val="superscript"/>
                <w:lang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SH/T 0604</w:t>
            </w:r>
          </w:p>
        </w:tc>
      </w:tr>
      <w:tr>
        <w:tblPrEx>
          <w:tblCellMar>
            <w:top w:w="0" w:type="dxa"/>
            <w:left w:w="108" w:type="dxa"/>
            <w:bottom w:w="0" w:type="dxa"/>
            <w:right w:w="108" w:type="dxa"/>
          </w:tblCellMar>
        </w:tblPrEx>
        <w:trPr>
          <w:trHeight w:val="44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密度20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960.9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954.0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kg/m</w:t>
            </w:r>
            <w:r>
              <w:rPr>
                <w:rFonts w:hint="eastAsia" w:ascii="宋体" w:hAnsi="宋体" w:eastAsia="宋体" w:cs="宋体"/>
                <w:color w:val="000000"/>
                <w:kern w:val="0"/>
                <w:sz w:val="22"/>
                <w:szCs w:val="22"/>
                <w:vertAlign w:val="superscript"/>
                <w:lang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SH/T 0604</w:t>
            </w:r>
          </w:p>
        </w:tc>
      </w:tr>
      <w:tr>
        <w:tblPrEx>
          <w:tblCellMar>
            <w:top w:w="0" w:type="dxa"/>
            <w:left w:w="108" w:type="dxa"/>
            <w:bottom w:w="0" w:type="dxa"/>
            <w:right w:w="108" w:type="dxa"/>
          </w:tblCellMar>
        </w:tblPrEx>
        <w:trPr>
          <w:trHeight w:val="44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碳芳香指数CCAI</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 17411-2015附录F</w:t>
            </w:r>
          </w:p>
        </w:tc>
      </w:tr>
      <w:tr>
        <w:tblPrEx>
          <w:tblCellMar>
            <w:top w:w="0" w:type="dxa"/>
            <w:left w:w="108" w:type="dxa"/>
            <w:bottom w:w="0" w:type="dxa"/>
            <w:right w:w="108" w:type="dxa"/>
          </w:tblCellMar>
        </w:tblPrEx>
        <w:trPr>
          <w:trHeight w:val="44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硫含量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0.344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0.316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17040</w:t>
            </w:r>
          </w:p>
        </w:tc>
      </w:tr>
      <w:tr>
        <w:tblPrEx>
          <w:tblCellMar>
            <w:top w:w="0" w:type="dxa"/>
            <w:left w:w="108" w:type="dxa"/>
            <w:bottom w:w="0" w:type="dxa"/>
            <w:right w:w="108" w:type="dxa"/>
          </w:tblCellMar>
        </w:tblPrEx>
        <w:trPr>
          <w:trHeight w:val="44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闪点（闭口）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91.0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94.0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261</w:t>
            </w:r>
          </w:p>
        </w:tc>
      </w:tr>
      <w:tr>
        <w:tblPrEx>
          <w:tblCellMar>
            <w:top w:w="0" w:type="dxa"/>
            <w:left w:w="108" w:type="dxa"/>
            <w:bottom w:w="0" w:type="dxa"/>
            <w:right w:w="108" w:type="dxa"/>
          </w:tblCellMar>
        </w:tblPrEx>
        <w:trPr>
          <w:trHeight w:val="44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硫化氢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mg/kg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IP 570</w:t>
            </w:r>
          </w:p>
        </w:tc>
      </w:tr>
      <w:tr>
        <w:tblPrEx>
          <w:tblCellMar>
            <w:top w:w="0" w:type="dxa"/>
            <w:left w:w="108" w:type="dxa"/>
            <w:bottom w:w="0" w:type="dxa"/>
            <w:right w:w="108" w:type="dxa"/>
          </w:tblCellMar>
        </w:tblPrEx>
        <w:trPr>
          <w:trHeight w:val="44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酸值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szCs w:val="22"/>
              </w:rPr>
            </w:pPr>
            <w:r>
              <w:rPr>
                <w:rFonts w:hint="eastAsia" w:ascii="宋体" w:hAnsi="宋体" w:eastAsia="宋体" w:cs="宋体"/>
                <w:color w:val="000000"/>
                <w:sz w:val="22"/>
                <w:szCs w:val="22"/>
              </w:rPr>
              <w:t>1.21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szCs w:val="22"/>
              </w:rPr>
            </w:pPr>
            <w:r>
              <w:rPr>
                <w:rFonts w:hint="eastAsia" w:ascii="宋体" w:hAnsi="宋体" w:eastAsia="宋体" w:cs="宋体"/>
                <w:color w:val="000000"/>
                <w:sz w:val="22"/>
                <w:szCs w:val="22"/>
              </w:rPr>
              <w:t>1.16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mgKOH/g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7304</w:t>
            </w:r>
          </w:p>
        </w:tc>
      </w:tr>
      <w:tr>
        <w:tblPrEx>
          <w:tblCellMar>
            <w:top w:w="0" w:type="dxa"/>
            <w:left w:w="108" w:type="dxa"/>
            <w:bottom w:w="0" w:type="dxa"/>
            <w:right w:w="108" w:type="dxa"/>
          </w:tblCellMar>
        </w:tblPrEx>
        <w:trPr>
          <w:trHeight w:val="44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总沉淀物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SH/T 0702</w:t>
            </w:r>
          </w:p>
        </w:tc>
      </w:tr>
      <w:tr>
        <w:tblPrEx>
          <w:tblCellMar>
            <w:top w:w="0" w:type="dxa"/>
            <w:left w:w="108" w:type="dxa"/>
            <w:bottom w:w="0" w:type="dxa"/>
            <w:right w:w="108" w:type="dxa"/>
          </w:tblCellMar>
        </w:tblPrEx>
        <w:trPr>
          <w:trHeight w:val="44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残炭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17144</w:t>
            </w:r>
          </w:p>
        </w:tc>
      </w:tr>
      <w:tr>
        <w:tblPrEx>
          <w:tblCellMar>
            <w:top w:w="0" w:type="dxa"/>
            <w:left w:w="108" w:type="dxa"/>
            <w:bottom w:w="0" w:type="dxa"/>
            <w:right w:w="108" w:type="dxa"/>
          </w:tblCellMar>
        </w:tblPrEx>
        <w:trPr>
          <w:trHeight w:val="44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倾点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3535</w:t>
            </w:r>
          </w:p>
        </w:tc>
      </w:tr>
      <w:tr>
        <w:tblPrEx>
          <w:tblCellMar>
            <w:top w:w="0" w:type="dxa"/>
            <w:left w:w="108" w:type="dxa"/>
            <w:bottom w:w="0" w:type="dxa"/>
            <w:right w:w="108" w:type="dxa"/>
          </w:tblCellMar>
        </w:tblPrEx>
        <w:trPr>
          <w:trHeight w:val="44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水分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11133</w:t>
            </w:r>
          </w:p>
        </w:tc>
      </w:tr>
      <w:tr>
        <w:tblPrEx>
          <w:tblCellMar>
            <w:top w:w="0" w:type="dxa"/>
            <w:left w:w="108" w:type="dxa"/>
            <w:bottom w:w="0" w:type="dxa"/>
            <w:right w:w="108" w:type="dxa"/>
          </w:tblCellMar>
        </w:tblPrEx>
        <w:trPr>
          <w:trHeight w:val="44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灰分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508</w:t>
            </w:r>
          </w:p>
        </w:tc>
      </w:tr>
      <w:tr>
        <w:tblPrEx>
          <w:tblCellMar>
            <w:top w:w="0" w:type="dxa"/>
            <w:left w:w="108" w:type="dxa"/>
            <w:bottom w:w="0" w:type="dxa"/>
            <w:right w:w="108" w:type="dxa"/>
          </w:tblCellMar>
        </w:tblPrEx>
        <w:trPr>
          <w:trHeight w:val="44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mg/kg</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IP 501</w:t>
            </w:r>
          </w:p>
        </w:tc>
      </w:tr>
      <w:tr>
        <w:tblPrEx>
          <w:tblCellMar>
            <w:top w:w="0" w:type="dxa"/>
            <w:left w:w="108" w:type="dxa"/>
            <w:bottom w:w="0" w:type="dxa"/>
            <w:right w:w="108" w:type="dxa"/>
          </w:tblCellMar>
        </w:tblPrEx>
        <w:trPr>
          <w:trHeight w:val="44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44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44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44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73</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44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44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44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净热值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39.95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40.03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MJ/kg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384</w:t>
            </w:r>
          </w:p>
        </w:tc>
      </w:tr>
      <w:tr>
        <w:tblPrEx>
          <w:tblCellMar>
            <w:top w:w="0" w:type="dxa"/>
            <w:left w:w="108" w:type="dxa"/>
            <w:bottom w:w="0" w:type="dxa"/>
            <w:right w:w="108" w:type="dxa"/>
          </w:tblCellMar>
        </w:tblPrEx>
        <w:trPr>
          <w:trHeight w:val="45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净热值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2"/>
                <w:szCs w:val="22"/>
              </w:rPr>
            </w:pPr>
            <w:r>
              <w:rPr>
                <w:rFonts w:hint="eastAsia" w:ascii="宋体" w:hAnsi="宋体" w:eastAsia="宋体" w:cs="宋体"/>
                <w:kern w:val="0"/>
                <w:sz w:val="22"/>
                <w:szCs w:val="22"/>
                <w:lang w:bidi="ar"/>
              </w:rPr>
              <w:t>40.06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2"/>
                <w:szCs w:val="22"/>
              </w:rPr>
            </w:pPr>
            <w:r>
              <w:rPr>
                <w:rFonts w:hint="eastAsia" w:ascii="宋体" w:hAnsi="宋体" w:eastAsia="宋体" w:cs="宋体"/>
                <w:kern w:val="0"/>
                <w:sz w:val="22"/>
                <w:szCs w:val="22"/>
                <w:lang w:bidi="ar"/>
              </w:rPr>
              <w:t>40.15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MJ/kg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ASTM D240</w:t>
            </w:r>
          </w:p>
        </w:tc>
      </w:tr>
      <w:tr>
        <w:tblPrEx>
          <w:tblCellMar>
            <w:top w:w="0" w:type="dxa"/>
            <w:left w:w="108" w:type="dxa"/>
            <w:bottom w:w="0" w:type="dxa"/>
            <w:right w:w="108" w:type="dxa"/>
          </w:tblCellMar>
        </w:tblPrEx>
        <w:trPr>
          <w:trHeight w:val="45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脂肪酸甲酯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szCs w:val="22"/>
              </w:rPr>
            </w:pPr>
            <w:r>
              <w:rPr>
                <w:rFonts w:hint="eastAsia" w:ascii="宋体" w:hAnsi="宋体" w:eastAsia="宋体" w:cs="宋体"/>
                <w:color w:val="000000"/>
                <w:sz w:val="22"/>
                <w:szCs w:val="22"/>
              </w:rPr>
              <w:t>19.42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szCs w:val="22"/>
              </w:rPr>
            </w:pPr>
            <w:r>
              <w:rPr>
                <w:rFonts w:hint="eastAsia" w:ascii="宋体" w:hAnsi="宋体" w:eastAsia="宋体" w:cs="宋体"/>
                <w:color w:val="000000"/>
                <w:sz w:val="22"/>
                <w:szCs w:val="22"/>
              </w:rPr>
              <w:t>23.36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质谱法</w:t>
            </w:r>
          </w:p>
        </w:tc>
      </w:tr>
    </w:tbl>
    <w:p>
      <w:pPr>
        <w:spacing w:line="360" w:lineRule="auto"/>
        <w:ind w:firstLine="420" w:firstLineChars="200"/>
        <w:jc w:val="left"/>
        <w:rPr>
          <w:rFonts w:eastAsia="宋体"/>
        </w:rPr>
      </w:pPr>
      <w:r>
        <w:rPr>
          <w:rFonts w:hint="eastAsia" w:eastAsia="宋体"/>
        </w:rPr>
        <w:t>为了进一步的验证该文件确定指标的合理性，实验室随机选取了某一批次不知来源的BD100生物柴油与不知来源的船用残渣燃料油调和成B24船用生物燃料油，测试指标如下（表11）：</w:t>
      </w:r>
    </w:p>
    <w:p>
      <w:pPr>
        <w:spacing w:line="360" w:lineRule="auto"/>
        <w:ind w:firstLine="420" w:firstLineChars="200"/>
        <w:jc w:val="center"/>
        <w:rPr>
          <w:rFonts w:eastAsia="宋体"/>
        </w:rPr>
      </w:pPr>
      <w:r>
        <w:rPr>
          <w:rFonts w:hint="eastAsia" w:eastAsia="宋体"/>
        </w:rPr>
        <w:t>表11 未知来源调和样品（B24）结果汇总</w:t>
      </w:r>
    </w:p>
    <w:tbl>
      <w:tblPr>
        <w:tblStyle w:val="4"/>
        <w:tblpPr w:leftFromText="180" w:rightFromText="180" w:vertAnchor="text" w:horzAnchor="page" w:tblpX="1921" w:tblpY="494"/>
        <w:tblOverlap w:val="never"/>
        <w:tblW w:w="8178" w:type="dxa"/>
        <w:tblInd w:w="0" w:type="dxa"/>
        <w:tblLayout w:type="autofit"/>
        <w:tblCellMar>
          <w:top w:w="0" w:type="dxa"/>
          <w:left w:w="108" w:type="dxa"/>
          <w:bottom w:w="0" w:type="dxa"/>
          <w:right w:w="108" w:type="dxa"/>
        </w:tblCellMar>
      </w:tblPr>
      <w:tblGrid>
        <w:gridCol w:w="502"/>
        <w:gridCol w:w="2087"/>
        <w:gridCol w:w="1795"/>
        <w:gridCol w:w="1137"/>
        <w:gridCol w:w="2657"/>
      </w:tblGrid>
      <w:tr>
        <w:tblPrEx>
          <w:tblCellMar>
            <w:top w:w="0" w:type="dxa"/>
            <w:left w:w="108" w:type="dxa"/>
            <w:bottom w:w="0" w:type="dxa"/>
            <w:right w:w="108" w:type="dxa"/>
          </w:tblCellMar>
        </w:tblPrEx>
        <w:trPr>
          <w:trHeight w:val="836"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序号</w:t>
            </w:r>
          </w:p>
        </w:tc>
        <w:tc>
          <w:tcPr>
            <w:tcW w:w="2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检测项目</w:t>
            </w:r>
          </w:p>
        </w:tc>
        <w:tc>
          <w:tcPr>
            <w:tcW w:w="1795"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jc w:val="center"/>
              <w:textAlignment w:val="center"/>
              <w:rPr>
                <w:rFonts w:ascii="宋体" w:hAnsi="宋体" w:eastAsia="宋体" w:cs="宋体"/>
                <w:b/>
                <w:bCs/>
                <w:color w:val="000000"/>
                <w:kern w:val="0"/>
                <w:sz w:val="22"/>
                <w:szCs w:val="22"/>
                <w:lang w:bidi="ar"/>
              </w:rPr>
            </w:pPr>
            <w:r>
              <w:rPr>
                <w:rFonts w:hint="eastAsia" w:ascii="宋体" w:hAnsi="宋体" w:eastAsia="宋体" w:cs="宋体"/>
                <w:b/>
                <w:bCs/>
                <w:color w:val="000000"/>
                <w:kern w:val="0"/>
                <w:sz w:val="22"/>
                <w:szCs w:val="22"/>
                <w:lang w:bidi="ar"/>
              </w:rPr>
              <w:t>结果（B24）</w:t>
            </w:r>
          </w:p>
        </w:tc>
        <w:tc>
          <w:tcPr>
            <w:tcW w:w="1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单位</w:t>
            </w:r>
          </w:p>
        </w:tc>
        <w:tc>
          <w:tcPr>
            <w:tcW w:w="2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检测方法</w:t>
            </w:r>
          </w:p>
        </w:tc>
      </w:tr>
      <w:tr>
        <w:tblPrEx>
          <w:tblCellMar>
            <w:top w:w="0" w:type="dxa"/>
            <w:left w:w="108" w:type="dxa"/>
            <w:bottom w:w="0" w:type="dxa"/>
            <w:right w:w="108" w:type="dxa"/>
          </w:tblCellMar>
        </w:tblPrEx>
        <w:trPr>
          <w:trHeight w:val="50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运动粘度50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sz w:val="22"/>
                <w:szCs w:val="22"/>
              </w:rPr>
              <w:t>70.62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mm</w:t>
            </w:r>
            <w:r>
              <w:rPr>
                <w:rFonts w:hint="eastAsia" w:ascii="宋体" w:hAnsi="宋体" w:eastAsia="宋体" w:cs="宋体"/>
                <w:color w:val="000000"/>
                <w:kern w:val="0"/>
                <w:sz w:val="22"/>
                <w:szCs w:val="22"/>
                <w:vertAlign w:val="superscript"/>
                <w:lang w:bidi="ar"/>
              </w:rPr>
              <w:t>2</w:t>
            </w:r>
            <w:r>
              <w:rPr>
                <w:rFonts w:hint="eastAsia" w:ascii="宋体" w:hAnsi="宋体" w:eastAsia="宋体" w:cs="宋体"/>
                <w:color w:val="000000"/>
                <w:kern w:val="0"/>
                <w:sz w:val="22"/>
                <w:szCs w:val="22"/>
                <w:lang w:bidi="ar"/>
              </w:rPr>
              <w:t>/s</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30515</w:t>
            </w:r>
          </w:p>
        </w:tc>
      </w:tr>
      <w:tr>
        <w:tblPrEx>
          <w:tblCellMar>
            <w:top w:w="0" w:type="dxa"/>
            <w:left w:w="108" w:type="dxa"/>
            <w:bottom w:w="0" w:type="dxa"/>
            <w:right w:w="108" w:type="dxa"/>
          </w:tblCellMar>
        </w:tblPrEx>
        <w:trPr>
          <w:trHeight w:val="50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密度15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sz w:val="22"/>
                <w:szCs w:val="22"/>
              </w:rPr>
              <w:t>950.5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kg/m</w:t>
            </w:r>
            <w:r>
              <w:rPr>
                <w:rFonts w:hint="eastAsia" w:ascii="宋体" w:hAnsi="宋体" w:eastAsia="宋体" w:cs="宋体"/>
                <w:color w:val="000000"/>
                <w:kern w:val="0"/>
                <w:sz w:val="22"/>
                <w:szCs w:val="22"/>
                <w:vertAlign w:val="superscript"/>
                <w:lang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SH/T 0604</w:t>
            </w:r>
          </w:p>
        </w:tc>
      </w:tr>
      <w:tr>
        <w:tblPrEx>
          <w:tblCellMar>
            <w:top w:w="0" w:type="dxa"/>
            <w:left w:w="108" w:type="dxa"/>
            <w:bottom w:w="0" w:type="dxa"/>
            <w:right w:w="108" w:type="dxa"/>
          </w:tblCellMar>
        </w:tblPrEx>
        <w:trPr>
          <w:trHeight w:val="50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密度20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sz w:val="22"/>
                <w:szCs w:val="22"/>
              </w:rPr>
              <w:t>947.1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kg/m</w:t>
            </w:r>
            <w:r>
              <w:rPr>
                <w:rFonts w:hint="eastAsia" w:ascii="宋体" w:hAnsi="宋体" w:eastAsia="宋体" w:cs="宋体"/>
                <w:color w:val="000000"/>
                <w:kern w:val="0"/>
                <w:sz w:val="22"/>
                <w:szCs w:val="22"/>
                <w:vertAlign w:val="superscript"/>
                <w:lang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SH/T 0604</w:t>
            </w:r>
          </w:p>
        </w:tc>
      </w:tr>
      <w:tr>
        <w:tblPrEx>
          <w:tblCellMar>
            <w:top w:w="0" w:type="dxa"/>
            <w:left w:w="108" w:type="dxa"/>
            <w:bottom w:w="0" w:type="dxa"/>
            <w:right w:w="108" w:type="dxa"/>
          </w:tblCellMar>
        </w:tblPrEx>
        <w:trPr>
          <w:trHeight w:val="50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碳芳香指数CCAI</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sz w:val="22"/>
                <w:szCs w:val="22"/>
              </w:rPr>
              <w:t>835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 17411-2015附录F</w:t>
            </w:r>
          </w:p>
        </w:tc>
      </w:tr>
      <w:tr>
        <w:tblPrEx>
          <w:tblCellMar>
            <w:top w:w="0" w:type="dxa"/>
            <w:left w:w="108" w:type="dxa"/>
            <w:bottom w:w="0" w:type="dxa"/>
            <w:right w:w="108" w:type="dxa"/>
          </w:tblCellMar>
        </w:tblPrEx>
        <w:trPr>
          <w:trHeight w:val="50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硫含量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sz w:val="22"/>
                <w:szCs w:val="22"/>
              </w:rPr>
              <w:t>0.326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17040</w:t>
            </w:r>
          </w:p>
        </w:tc>
      </w:tr>
      <w:tr>
        <w:tblPrEx>
          <w:tblCellMar>
            <w:top w:w="0" w:type="dxa"/>
            <w:left w:w="108" w:type="dxa"/>
            <w:bottom w:w="0" w:type="dxa"/>
            <w:right w:w="108" w:type="dxa"/>
          </w:tblCellMar>
        </w:tblPrEx>
        <w:trPr>
          <w:trHeight w:val="50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闪点（闭口）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sz w:val="22"/>
                <w:szCs w:val="22"/>
              </w:rPr>
              <w:t>102.0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261</w:t>
            </w:r>
          </w:p>
        </w:tc>
      </w:tr>
      <w:tr>
        <w:tblPrEx>
          <w:tblCellMar>
            <w:top w:w="0" w:type="dxa"/>
            <w:left w:w="108" w:type="dxa"/>
            <w:bottom w:w="0" w:type="dxa"/>
            <w:right w:w="108" w:type="dxa"/>
          </w:tblCellMar>
        </w:tblPrEx>
        <w:trPr>
          <w:trHeight w:val="50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硫化氢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mg/kg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IP 570</w:t>
            </w:r>
          </w:p>
        </w:tc>
      </w:tr>
      <w:tr>
        <w:tblPrEx>
          <w:tblCellMar>
            <w:top w:w="0" w:type="dxa"/>
            <w:left w:w="108" w:type="dxa"/>
            <w:bottom w:w="0" w:type="dxa"/>
            <w:right w:w="108" w:type="dxa"/>
          </w:tblCellMar>
        </w:tblPrEx>
        <w:trPr>
          <w:trHeight w:val="50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酸值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szCs w:val="22"/>
              </w:rPr>
            </w:pPr>
            <w:r>
              <w:rPr>
                <w:rFonts w:hint="eastAsia" w:ascii="宋体" w:hAnsi="宋体" w:eastAsia="宋体" w:cs="宋体"/>
                <w:color w:val="000000"/>
                <w:sz w:val="22"/>
                <w:szCs w:val="22"/>
              </w:rPr>
              <w:t>1.04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mgKOH/g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7304</w:t>
            </w:r>
          </w:p>
        </w:tc>
      </w:tr>
      <w:tr>
        <w:tblPrEx>
          <w:tblCellMar>
            <w:top w:w="0" w:type="dxa"/>
            <w:left w:w="108" w:type="dxa"/>
            <w:bottom w:w="0" w:type="dxa"/>
            <w:right w:w="108" w:type="dxa"/>
          </w:tblCellMar>
        </w:tblPrEx>
        <w:trPr>
          <w:trHeight w:val="50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总沉淀物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sz w:val="22"/>
                <w:szCs w:val="22"/>
              </w:rPr>
              <w:t>0.01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SH/T 0702</w:t>
            </w:r>
          </w:p>
        </w:tc>
      </w:tr>
      <w:tr>
        <w:tblPrEx>
          <w:tblCellMar>
            <w:top w:w="0" w:type="dxa"/>
            <w:left w:w="108" w:type="dxa"/>
            <w:bottom w:w="0" w:type="dxa"/>
            <w:right w:w="108" w:type="dxa"/>
          </w:tblCellMar>
        </w:tblPrEx>
        <w:trPr>
          <w:trHeight w:val="50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残炭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sz w:val="22"/>
                <w:szCs w:val="22"/>
              </w:rPr>
              <w:t>8.64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17144</w:t>
            </w:r>
          </w:p>
        </w:tc>
      </w:tr>
      <w:tr>
        <w:tblPrEx>
          <w:tblCellMar>
            <w:top w:w="0" w:type="dxa"/>
            <w:left w:w="108" w:type="dxa"/>
            <w:bottom w:w="0" w:type="dxa"/>
            <w:right w:w="108" w:type="dxa"/>
          </w:tblCellMar>
        </w:tblPrEx>
        <w:trPr>
          <w:trHeight w:val="50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倾点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sz w:val="22"/>
                <w:szCs w:val="22"/>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3535</w:t>
            </w:r>
          </w:p>
        </w:tc>
      </w:tr>
      <w:tr>
        <w:tblPrEx>
          <w:tblCellMar>
            <w:top w:w="0" w:type="dxa"/>
            <w:left w:w="108" w:type="dxa"/>
            <w:bottom w:w="0" w:type="dxa"/>
            <w:right w:w="108" w:type="dxa"/>
          </w:tblCellMar>
        </w:tblPrEx>
        <w:trPr>
          <w:trHeight w:val="50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水分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sz w:val="22"/>
                <w:szCs w:val="22"/>
              </w:rPr>
              <w:t>0.15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11133</w:t>
            </w:r>
          </w:p>
        </w:tc>
      </w:tr>
      <w:tr>
        <w:tblPrEx>
          <w:tblCellMar>
            <w:top w:w="0" w:type="dxa"/>
            <w:left w:w="108" w:type="dxa"/>
            <w:bottom w:w="0" w:type="dxa"/>
            <w:right w:w="108" w:type="dxa"/>
          </w:tblCellMar>
        </w:tblPrEx>
        <w:trPr>
          <w:trHeight w:val="50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灰分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sz w:val="22"/>
                <w:szCs w:val="22"/>
              </w:rPr>
              <w:t>0.034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508</w:t>
            </w:r>
          </w:p>
        </w:tc>
      </w:tr>
      <w:tr>
        <w:tblPrEx>
          <w:tblCellMar>
            <w:top w:w="0" w:type="dxa"/>
            <w:left w:w="108" w:type="dxa"/>
            <w:bottom w:w="0" w:type="dxa"/>
            <w:right w:w="108" w:type="dxa"/>
          </w:tblCellMar>
        </w:tblPrEx>
        <w:trPr>
          <w:trHeight w:val="50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sz w:val="22"/>
                <w:szCs w:val="22"/>
              </w:rPr>
              <w:t>6</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mg/kg</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IP 501</w:t>
            </w:r>
          </w:p>
        </w:tc>
      </w:tr>
      <w:tr>
        <w:tblPrEx>
          <w:tblCellMar>
            <w:top w:w="0" w:type="dxa"/>
            <w:left w:w="108" w:type="dxa"/>
            <w:bottom w:w="0" w:type="dxa"/>
            <w:right w:w="108" w:type="dxa"/>
          </w:tblCellMar>
        </w:tblPrEx>
        <w:trPr>
          <w:trHeight w:val="50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sz w:val="22"/>
                <w:szCs w:val="22"/>
              </w:rPr>
              <w:t>3</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50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sz w:val="22"/>
                <w:szCs w:val="22"/>
              </w:rPr>
              <w:t>2</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50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sz w:val="22"/>
                <w:szCs w:val="22"/>
              </w:rPr>
              <w:t>6</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50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sz w:val="22"/>
                <w:szCs w:val="22"/>
              </w:rPr>
              <w:t>12</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50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sz w:val="22"/>
                <w:szCs w:val="22"/>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50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sz w:val="22"/>
                <w:szCs w:val="22"/>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szCs w:val="22"/>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50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净热值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sz w:val="22"/>
                <w:szCs w:val="22"/>
              </w:rPr>
              <w:t>39.48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MJ/kg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GB/T 384</w:t>
            </w:r>
          </w:p>
        </w:tc>
      </w:tr>
      <w:tr>
        <w:tblPrEx>
          <w:tblCellMar>
            <w:top w:w="0" w:type="dxa"/>
            <w:left w:w="108" w:type="dxa"/>
            <w:bottom w:w="0" w:type="dxa"/>
            <w:right w:w="108" w:type="dxa"/>
          </w:tblCellMar>
        </w:tblPrEx>
        <w:trPr>
          <w:trHeight w:val="5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净热值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FF0000"/>
                <w:sz w:val="22"/>
                <w:szCs w:val="22"/>
              </w:rPr>
            </w:pPr>
            <w:r>
              <w:rPr>
                <w:rFonts w:hint="eastAsia" w:ascii="宋体" w:hAnsi="宋体" w:eastAsia="宋体" w:cs="宋体"/>
                <w:sz w:val="22"/>
                <w:szCs w:val="22"/>
              </w:rPr>
              <w:t>39.32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MJ/kg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ASTM D240</w:t>
            </w:r>
          </w:p>
        </w:tc>
      </w:tr>
      <w:tr>
        <w:tblPrEx>
          <w:tblCellMar>
            <w:top w:w="0" w:type="dxa"/>
            <w:left w:w="108" w:type="dxa"/>
            <w:bottom w:w="0" w:type="dxa"/>
            <w:right w:w="108" w:type="dxa"/>
          </w:tblCellMar>
        </w:tblPrEx>
        <w:trPr>
          <w:trHeight w:val="53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脂肪酸甲酯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szCs w:val="22"/>
              </w:rPr>
            </w:pPr>
            <w:r>
              <w:rPr>
                <w:rFonts w:hint="eastAsia" w:ascii="宋体" w:hAnsi="宋体" w:eastAsia="宋体" w:cs="宋体"/>
                <w:color w:val="000000"/>
                <w:sz w:val="22"/>
                <w:szCs w:val="22"/>
              </w:rPr>
              <w:t>23.28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质谱法</w:t>
            </w:r>
          </w:p>
        </w:tc>
      </w:tr>
    </w:tbl>
    <w:p>
      <w:pPr>
        <w:spacing w:line="360" w:lineRule="auto"/>
        <w:ind w:firstLine="420" w:firstLineChars="200"/>
        <w:jc w:val="left"/>
        <w:rPr>
          <w:rFonts w:eastAsia="宋体"/>
          <w:highlight w:val="yellow"/>
        </w:rPr>
      </w:pPr>
      <w:r>
        <w:rPr>
          <w:rFonts w:hint="eastAsia" w:eastAsia="宋体"/>
        </w:rPr>
        <w:t>由上表结果数据可以看出：未知来源样品的检测结果均在标准设定的指标值范围内。</w:t>
      </w:r>
    </w:p>
    <w:p>
      <w:pPr>
        <w:spacing w:line="360" w:lineRule="auto"/>
        <w:jc w:val="left"/>
        <w:rPr>
          <w:rFonts w:eastAsia="宋体"/>
          <w:b/>
          <w:bCs/>
        </w:rPr>
      </w:pPr>
      <w:r>
        <w:rPr>
          <w:rFonts w:hint="eastAsia" w:eastAsia="宋体"/>
          <w:b/>
          <w:bCs/>
        </w:rPr>
        <w:t>（五）台架试验数据</w:t>
      </w:r>
    </w:p>
    <w:p>
      <w:pPr>
        <w:spacing w:line="360" w:lineRule="auto"/>
        <w:ind w:firstLine="420" w:firstLineChars="200"/>
        <w:rPr>
          <w:rFonts w:eastAsia="宋体"/>
        </w:rPr>
      </w:pPr>
      <w:r>
        <w:rPr>
          <w:rFonts w:hint="eastAsia" w:eastAsia="宋体"/>
        </w:rPr>
        <w:t>为了验证船用生物燃料油选择牌号的合理性，选择了B15，B24,，B30，B50牌号的样品进行了台架试验。本文件的台架试验由上海海事大学进行试验。</w:t>
      </w:r>
    </w:p>
    <w:p>
      <w:pPr>
        <w:spacing w:line="360" w:lineRule="auto"/>
        <w:ind w:firstLine="420" w:firstLineChars="200"/>
        <w:jc w:val="left"/>
        <w:rPr>
          <w:rFonts w:eastAsia="宋体"/>
        </w:rPr>
      </w:pPr>
      <w:r>
        <w:rPr>
          <w:rFonts w:hint="eastAsia" w:eastAsia="宋体"/>
        </w:rPr>
        <w:t>本次台架试验</w:t>
      </w:r>
      <w:r>
        <w:rPr>
          <w:rFonts w:eastAsia="宋体"/>
        </w:rPr>
        <w:t xml:space="preserve">以上海海事大学自动化机舱实验室 MAN B&amp;W 6S35ME-B9 船舶柴油 机为试验用机进行台架试验，试验时间超过 300 小时，包括 B15、B24、B30 三 种生物燃料油各 94 小时，B50 生物燃料油 24 小时。试验内容包括对主机、分油 机、供油系统等关重件进行燃用生物燃料油性能测试和耐久测试。试验工况包括 E3 试验模式下 25%、50%、75%、85%、90%、100%，E2 试验模式下 25%、50%、 75%、90%、100%（E2 试验模式下 100%工况和 E3 试验模式下 100%工况为同一工况）九种不同工况，分别燃用 15%船用生物燃料油（B15 Marine）、24%船 用生物燃料油（B24 Marine）、30%船用生物燃料油（B30 Marine）、50%船用 生物燃料油（B50 Marine）、船用燃料油（180 Marine），测取排放物包括 NOx、 CO2、CO、THC、烟度和颗粒物六种等。 </w:t>
      </w:r>
    </w:p>
    <w:p>
      <w:pPr>
        <w:spacing w:line="360" w:lineRule="auto"/>
        <w:ind w:firstLine="420" w:firstLineChars="200"/>
        <w:jc w:val="left"/>
        <w:rPr>
          <w:rFonts w:eastAsia="宋体"/>
        </w:rPr>
      </w:pPr>
      <w:r>
        <w:rPr>
          <w:rFonts w:eastAsia="宋体"/>
        </w:rPr>
        <w:t>通过对燃用不同比例船用生物燃料油时主机的振动性能研究发现，在相同发 动机工况下，180 燃料油、B15 M、B24 M、B30 M、B50 M 生物燃料油振动强 度基本相似，振动加速度在 6-20m/s2之间。总体上，生物燃料油引起发动机的振 动与 HFO 燃料油相似。基本上，使用生物燃料油下活塞往复运动惯性力、不同 行程下机械部件的固有运动等引起的发动机低频振动与 HFO 差别不大，甚至部分条件下稍低于 HFO，如 B24 和 B30 生物燃料油振动和噪音明显较为轻柔，有 可能有利于提高发动机寿命。B50 生物燃料油与 HFO 燃料油差别不大，引起高频部分振动和噪音略有增加。</w:t>
      </w:r>
    </w:p>
    <w:p>
      <w:pPr>
        <w:spacing w:line="360" w:lineRule="auto"/>
        <w:ind w:firstLine="420" w:firstLineChars="200"/>
        <w:jc w:val="left"/>
        <w:rPr>
          <w:rFonts w:eastAsia="宋体"/>
        </w:rPr>
      </w:pPr>
      <w:r>
        <w:drawing>
          <wp:inline distT="0" distB="0" distL="114300" distR="114300">
            <wp:extent cx="4373880" cy="3604260"/>
            <wp:effectExtent l="0" t="0" r="0" b="7620"/>
            <wp:docPr id="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pic:cNvPicPr>
                      <a:picLocks noChangeAspect="1"/>
                    </pic:cNvPicPr>
                  </pic:nvPicPr>
                  <pic:blipFill>
                    <a:blip r:embed="rId7"/>
                    <a:stretch>
                      <a:fillRect/>
                    </a:stretch>
                  </pic:blipFill>
                  <pic:spPr>
                    <a:xfrm>
                      <a:off x="0" y="0"/>
                      <a:ext cx="4373880" cy="3604260"/>
                    </a:xfrm>
                    <a:prstGeom prst="rect">
                      <a:avLst/>
                    </a:prstGeom>
                    <a:noFill/>
                    <a:ln>
                      <a:noFill/>
                    </a:ln>
                  </pic:spPr>
                </pic:pic>
              </a:graphicData>
            </a:graphic>
          </wp:inline>
        </w:drawing>
      </w:r>
      <w:r>
        <w:drawing>
          <wp:inline distT="0" distB="0" distL="114300" distR="114300">
            <wp:extent cx="4122420" cy="3444240"/>
            <wp:effectExtent l="0" t="0" r="7620" b="0"/>
            <wp:docPr id="1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
                    <pic:cNvPicPr>
                      <a:picLocks noChangeAspect="1"/>
                    </pic:cNvPicPr>
                  </pic:nvPicPr>
                  <pic:blipFill>
                    <a:blip r:embed="rId8"/>
                    <a:stretch>
                      <a:fillRect/>
                    </a:stretch>
                  </pic:blipFill>
                  <pic:spPr>
                    <a:xfrm>
                      <a:off x="0" y="0"/>
                      <a:ext cx="4122420" cy="3444240"/>
                    </a:xfrm>
                    <a:prstGeom prst="rect">
                      <a:avLst/>
                    </a:prstGeom>
                    <a:noFill/>
                    <a:ln>
                      <a:noFill/>
                    </a:ln>
                  </pic:spPr>
                </pic:pic>
              </a:graphicData>
            </a:graphic>
          </wp:inline>
        </w:drawing>
      </w:r>
      <w:r>
        <w:drawing>
          <wp:inline distT="0" distB="0" distL="114300" distR="114300">
            <wp:extent cx="4160520" cy="3375660"/>
            <wp:effectExtent l="0" t="0" r="0" b="7620"/>
            <wp:docPr id="1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6"/>
                    <pic:cNvPicPr>
                      <a:picLocks noChangeAspect="1"/>
                    </pic:cNvPicPr>
                  </pic:nvPicPr>
                  <pic:blipFill>
                    <a:blip r:embed="rId9"/>
                    <a:stretch>
                      <a:fillRect/>
                    </a:stretch>
                  </pic:blipFill>
                  <pic:spPr>
                    <a:xfrm>
                      <a:off x="0" y="0"/>
                      <a:ext cx="4160520" cy="3375660"/>
                    </a:xfrm>
                    <a:prstGeom prst="rect">
                      <a:avLst/>
                    </a:prstGeom>
                    <a:noFill/>
                    <a:ln>
                      <a:noFill/>
                    </a:ln>
                  </pic:spPr>
                </pic:pic>
              </a:graphicData>
            </a:graphic>
          </wp:inline>
        </w:drawing>
      </w:r>
      <w:r>
        <w:rPr>
          <w:rFonts w:eastAsia="宋体"/>
        </w:rPr>
        <w:t xml:space="preserve"> </w:t>
      </w:r>
      <w:r>
        <w:drawing>
          <wp:inline distT="0" distB="0" distL="114300" distR="114300">
            <wp:extent cx="3840480" cy="348996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0"/>
                    <a:stretch>
                      <a:fillRect/>
                    </a:stretch>
                  </pic:blipFill>
                  <pic:spPr>
                    <a:xfrm>
                      <a:off x="0" y="0"/>
                      <a:ext cx="3840480" cy="3489960"/>
                    </a:xfrm>
                    <a:prstGeom prst="rect">
                      <a:avLst/>
                    </a:prstGeom>
                    <a:noFill/>
                    <a:ln>
                      <a:noFill/>
                    </a:ln>
                  </pic:spPr>
                </pic:pic>
              </a:graphicData>
            </a:graphic>
          </wp:inline>
        </w:drawing>
      </w:r>
      <w:r>
        <w:drawing>
          <wp:inline distT="0" distB="0" distL="114300" distR="114300">
            <wp:extent cx="4099560" cy="336804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1"/>
                    <a:stretch>
                      <a:fillRect/>
                    </a:stretch>
                  </pic:blipFill>
                  <pic:spPr>
                    <a:xfrm>
                      <a:off x="0" y="0"/>
                      <a:ext cx="4099560" cy="3368040"/>
                    </a:xfrm>
                    <a:prstGeom prst="rect">
                      <a:avLst/>
                    </a:prstGeom>
                    <a:noFill/>
                    <a:ln>
                      <a:noFill/>
                    </a:ln>
                  </pic:spPr>
                </pic:pic>
              </a:graphicData>
            </a:graphic>
          </wp:inline>
        </w:drawing>
      </w:r>
      <w:r>
        <w:drawing>
          <wp:inline distT="0" distB="0" distL="114300" distR="114300">
            <wp:extent cx="3810000" cy="3314700"/>
            <wp:effectExtent l="0" t="0" r="0" b="7620"/>
            <wp:docPr id="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9"/>
                    <pic:cNvPicPr>
                      <a:picLocks noChangeAspect="1"/>
                    </pic:cNvPicPr>
                  </pic:nvPicPr>
                  <pic:blipFill>
                    <a:blip r:embed="rId12"/>
                    <a:stretch>
                      <a:fillRect/>
                    </a:stretch>
                  </pic:blipFill>
                  <pic:spPr>
                    <a:xfrm>
                      <a:off x="0" y="0"/>
                      <a:ext cx="3810000" cy="3314700"/>
                    </a:xfrm>
                    <a:prstGeom prst="rect">
                      <a:avLst/>
                    </a:prstGeom>
                    <a:noFill/>
                    <a:ln>
                      <a:noFill/>
                    </a:ln>
                  </pic:spPr>
                </pic:pic>
              </a:graphicData>
            </a:graphic>
          </wp:inline>
        </w:drawing>
      </w:r>
    </w:p>
    <w:p>
      <w:pPr>
        <w:spacing w:line="360" w:lineRule="auto"/>
        <w:ind w:firstLine="420" w:firstLineChars="200"/>
        <w:jc w:val="left"/>
        <w:rPr>
          <w:rFonts w:eastAsia="宋体"/>
        </w:rPr>
      </w:pPr>
      <w:r>
        <w:rPr>
          <w:rFonts w:eastAsia="宋体"/>
        </w:rPr>
        <w:t xml:space="preserve">通过对燃用不同比例船用生物燃料油时主机的动力性能研究发现，生物燃料 油热值与燃料油接近，能量密度高。在相同发动机工况下，180 燃料油、B15 M、 B24 M、B30 M、B50 M 生物燃料油燃油消耗率依次略有上升。在使用 B15，B24， B30，B50 混合燃料时，对低速机起动特性影响与 HFO 变化差异不大，表明生物 燃料油不会影响船舶起动。包括 B15，B24，B30，B50 混合燃料，空载和最低工 作稳定转速下，转速并无较大波动，功率、扭矩等柴油机特性也与船用燃料油基本一致，转速稳定时间无变化增加。在燃用 B15，B24，B30，B50 混合燃料时， 柴油机在调速时达到稳定转速的时间均十分快速，说明本测试使用的船用 B15， B24，B30，B50 对船舶柴油机调速性能具有极佳的特性。在发动机负荷突变时， 燃用生物燃料油后船舶低速柴油机的转速稳定时间均较短。同时，各工况下的柴大型船舶低速机应该生物燃料油关键技术研究 低速机台架试验报告 油转速波动率均与 HFO 船用燃料油无明显区别。 </w:t>
      </w:r>
    </w:p>
    <w:p>
      <w:pPr>
        <w:spacing w:line="360" w:lineRule="auto"/>
        <w:ind w:firstLine="420" w:firstLineChars="200"/>
        <w:jc w:val="left"/>
        <w:rPr>
          <w:rFonts w:eastAsia="宋体"/>
        </w:rPr>
      </w:pPr>
      <w:r>
        <w:drawing>
          <wp:inline distT="0" distB="0" distL="114300" distR="114300">
            <wp:extent cx="4635500" cy="4077970"/>
            <wp:effectExtent l="0" t="0" r="12700" b="6350"/>
            <wp:docPr id="1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
                    <pic:cNvPicPr>
                      <a:picLocks noChangeAspect="1"/>
                    </pic:cNvPicPr>
                  </pic:nvPicPr>
                  <pic:blipFill>
                    <a:blip r:embed="rId13"/>
                    <a:stretch>
                      <a:fillRect/>
                    </a:stretch>
                  </pic:blipFill>
                  <pic:spPr>
                    <a:xfrm>
                      <a:off x="0" y="0"/>
                      <a:ext cx="4635500" cy="4077970"/>
                    </a:xfrm>
                    <a:prstGeom prst="rect">
                      <a:avLst/>
                    </a:prstGeom>
                    <a:noFill/>
                    <a:ln>
                      <a:noFill/>
                    </a:ln>
                  </pic:spPr>
                </pic:pic>
              </a:graphicData>
            </a:graphic>
          </wp:inline>
        </w:drawing>
      </w:r>
      <w:r>
        <w:drawing>
          <wp:inline distT="0" distB="0" distL="114300" distR="114300">
            <wp:extent cx="4657090" cy="4151630"/>
            <wp:effectExtent l="0" t="0" r="6350" b="8890"/>
            <wp:docPr id="9"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1"/>
                    <pic:cNvPicPr>
                      <a:picLocks noChangeAspect="1"/>
                    </pic:cNvPicPr>
                  </pic:nvPicPr>
                  <pic:blipFill>
                    <a:blip r:embed="rId14"/>
                    <a:stretch>
                      <a:fillRect/>
                    </a:stretch>
                  </pic:blipFill>
                  <pic:spPr>
                    <a:xfrm>
                      <a:off x="0" y="0"/>
                      <a:ext cx="4657090" cy="4151630"/>
                    </a:xfrm>
                    <a:prstGeom prst="rect">
                      <a:avLst/>
                    </a:prstGeom>
                    <a:noFill/>
                    <a:ln>
                      <a:noFill/>
                    </a:ln>
                  </pic:spPr>
                </pic:pic>
              </a:graphicData>
            </a:graphic>
          </wp:inline>
        </w:drawing>
      </w:r>
    </w:p>
    <w:p>
      <w:pPr>
        <w:spacing w:line="360" w:lineRule="auto"/>
        <w:ind w:firstLine="420" w:firstLineChars="200"/>
        <w:jc w:val="left"/>
        <w:rPr>
          <w:rFonts w:eastAsia="宋体"/>
        </w:rPr>
      </w:pPr>
      <w:r>
        <w:rPr>
          <w:rFonts w:eastAsia="宋体"/>
        </w:rPr>
        <w:t xml:space="preserve">通过对燃用不同比例船用生物燃料油时主机的的经济性和排放性研究发现， 船舶低速柴油发动机燃用船用 B15，B24，B30，B50 混合燃料时，引起油耗率稍 有增加，NOx 排放稍有增加，总体油耗和 NOx 排放水平与 HFO 燃料油一致。尽管 低速主机功率很大，气态污染排放物和颗粒排放物水平极低，在 CO 和 CH 的排放 方面已经达到了极低的水平，比排放因子甚至低于国家相关标准中对车用小排量 发动机的限值，低于《GB-209891-2007 非道路移动机械用柴油机排气污染物排 放限值及测量方法》。等《GB 15097-2016 船舶发动机排气污染物排放限值及测 量方法（中国第一、二阶段）》法规规定的有效发动机为单缸排量 SV 为 30L/缸 以下，因此不会制约船舶生物燃料油的使用。NOx 排放量可以满足 IMO 对船用柴 油机生物燃料排放的豁免，这对目前使用的非新造船舶能完全达到排放标准具有重要意义。 </w:t>
      </w:r>
    </w:p>
    <w:p>
      <w:pPr>
        <w:spacing w:line="360" w:lineRule="auto"/>
        <w:ind w:firstLine="420" w:firstLineChars="200"/>
        <w:jc w:val="left"/>
        <w:rPr>
          <w:rFonts w:eastAsia="宋体"/>
        </w:rPr>
      </w:pPr>
      <w:r>
        <w:rPr>
          <w:rFonts w:eastAsia="宋体"/>
        </w:rPr>
        <w:t xml:space="preserve">对于低速发动机生物燃料油在不同操作条件下主机的耐久试验和可靠性研 究发现，生物燃料油在发动机中的燃烧过程相对稳定，耐久试验证明缸套和活塞 环无造成明显的磨损；生物燃料油的台架试验特性与传统燃料接近，未发现明显 高温腐蚀和磨损；船舶发动机使用生物燃料油并未引起润滑系统的异常问题，对气缸套和活塞环的研究证实未存在异常摩擦和磨损；发动机的燃烧温度和压力相 对稍低，理论上不会造成过度的热负荷和机械负荷。但实际使用中也需对喷油器 定期维护，长期关注燃烧温度和积碳；生物燃料与传统燃料油差别不大，但使用 中也需定期检查和维护发动机，以确保其正常运行和延长使用寿命；生物燃料油 中并未发现水分和杂质对气缸套造成影响的问题，在使用过程中也应确保燃料的 清洁度和干燥度；良好品质的生物燃料，特别是经过适当处理以提高其稳定性和 兼容性的优化后，或可能减轻磨损或与传统燃料相当的磨损水平。为了适应生物 燃料的特性，也可使用高等级气缸润滑油，加强定期检查和维护；活塞组件表面 光滑干净、没有划痕，表明理想的燃烧室密封；活塞环的技术状况非常良好，可 见的保护层和工作层，仍然具有保持密封的能力；气缸套表面无机械磨损、黏着 磨损、过度磨损、无裂纹、无划痕，燃烧区域温度无异常；可确认在 1g/kwh 的 气缸注油速率下，发动机被正确维护；活塞顶上积碳和钙沉积，与 HFO 燃料油相 似；表明燃油喷射器工作情况正常，无不良使燃料雾化；并未发现明显的磨料磨 损痕迹；活塞环槽内润滑油膜粘度和厚度与 HFO 燃料油特性相似；对润滑性能或大型船舶低速机应该生物燃料油关键技术研究 低速机台架试验报告 稍有提高。；无低温腐蚀现象；无树脂漆现象。综上所述，生物燃料油相具有不少优点，通过细致的准备、适当的调整和持续的监测，可以最大限度地减少对主 机的负面影响，同时享受生物燃料带来的益处。 </w:t>
      </w:r>
    </w:p>
    <w:p>
      <w:pPr>
        <w:spacing w:line="360" w:lineRule="auto"/>
        <w:ind w:firstLine="420" w:firstLineChars="200"/>
        <w:jc w:val="left"/>
        <w:rPr>
          <w:rFonts w:eastAsia="宋体"/>
        </w:rPr>
      </w:pPr>
      <w:r>
        <w:rPr>
          <w:rFonts w:eastAsia="宋体"/>
        </w:rPr>
        <w:t xml:space="preserve">通过对于船舶燃油供油系统的耐久性试验，探索了生物燃料油在不同掺混比 例下，分油机和供油单元的操作的性能表现。发现由于生物柴油和 180CST 燃油 调和以后导致燃油的的粘度降低，有必要对净油系统进行相应的设置，以确保有 效的分离效果和降低能耗；根据供油单元粘度设定值（13CST）对应的温度为参 考值修改燃油沉淀柜的加热温度和分油机的分油温度（如果沉淀柜温度设定值过 高将会导致分油机分油温度高报警）；通常，随着生物柴油调和的比例越高，此 温度设定值越低；排渣间隔建议根据拆洗分油机分离片的清洁情况进行设定。根 据台架试验使用情况，未发现分油机在使用生物柴油后对分离片和分油机前置滤 器的异常影响（由于粘度更低），每次更换油品以后拆洗分油机分离片和前置滤 器都比较干净；分油机的分离量建议根据主机/发电机的负荷进行调节，以节约 能耗；由于分油机流量是按照主机在最大负荷时的 110%设定的，当主机/发电柴 油机在部分负荷运行时，分油机分离出来的燃料很大一部分会返回沉淀柜，但是 沉淀柜的稀释对最终进入发动机的燃油清洁度并没有明显的影响，为了降低能耗 方面考虑建议根据主机/发电机的负荷进行调节；使用生物燃料油并未对分离桶 和分离片造成明显的磨损和腐蚀影响，分离筒状态清洁良好，表明分油机在被正 确设置的情况下，对生物燃料具有良好的适用性；分油机的燃油温度和流量应被 正确设置，发动机的操作和参数也应适用于该分油机设置状况，正确的设置情况 可以作为一个参考而指导应用；仍然需要定期检查和维护。要定期检查各种滤芯 的完好程度，如发现滤芯堵塞或破损，应及时更换。同时，也要参考 HFO，按 照制造商的推荐，定期更换滤芯，以保证分油机的过滤性能；定期清洗内、外部 表面。包括清洁分离器、过滤器和加热器等部件。要特别注意清除任何残留的油 渣和杂质，以免影响分油效果和机器的正常运转。以保持整体清洁和美观。可以使用适当的清洁剂和湿布进行擦拭，不建议使用过于强烈的清洁剂，以免损坏表 面涂层；定期检查和维护。除了日常清洁，还应定期对分油机进行全面的检查和 维护。包括检查机器的密封性、润滑状况、电线和插头等，确保其处于良好的工 作状态；记录和维护日志。为了追踪机器的维护历史和确保其得到适当的维护， 建议建立一个维护日志。记录每次清洁和维护的时间、内容和负责人员等信息，大型船舶低速机应该生物燃料油关键技术研究 低速机台架试验报告 以便于管理和追踪；注意安全操作。在清洁和维护分油机的过程中，要遵守安全 操作规程，避免发生意外事故。例如，在清洁加热器时，要注意防止烫伤；在检 查电线和插头时，要确保电源已经关闭；在运转的过程中注意检查分离筒运转是 否平稳，有无振动和噪音，如有应立即停车检查。检查分油机转速和马达温度是 否正常。总的来说，保持分油机的清洁和根据燃油品种的变化调整一些重要参数 是确保其正常工作和延长使用寿命的关键。定期进行全面的清洁和维护，可以确 保分油机的良好工作状态，并提高其可靠性和安全性。 </w:t>
      </w:r>
    </w:p>
    <w:p>
      <w:pPr>
        <w:spacing w:line="360" w:lineRule="auto"/>
        <w:ind w:firstLine="420" w:firstLineChars="200"/>
        <w:jc w:val="left"/>
        <w:rPr>
          <w:rFonts w:eastAsia="宋体"/>
        </w:rPr>
      </w:pPr>
      <w:r>
        <w:rPr>
          <w:rFonts w:eastAsia="宋体"/>
        </w:rPr>
        <w:t>详细研究了船用柴油机在使用生物燃料油混合物后对柴油机燃烧特性的影 响。以便更好地理解和优化生物燃料油的燃烧过程，实现更洁净、高效的发动机 燃烧，发现了 E3 特性下，同一负荷下生物燃料油混合燃料气缸压力变化不明显， 而放热率变化显著，这是由于生物燃料油中含有的氧元素在燃烧中并不贡献热值 所导致；生物燃料油混合燃料的放热峰值和放热速率受混合比例和负荷条件影响 明显。在低负荷条件下，混合燃料中生物燃料油比例较高的情况下，放热峰值相 对较低，而在高负荷条件下放热峰值相对较高；在燃烧初期，混合燃料的放热速 率由含氧量决定，生物燃料油比例高的混合燃料放热速率较低。在燃烧结束后， 混合燃料的放热顺序反映了其含氧量对燃烧完全性和热效率的影响；低转速时， 燃料与空气混合时间增长，混合更为充分，但也导致点火延迟增加，燃烧时间延 长。因此，不同混合燃料的放热率差异减小；在高负荷条件下，放热率峰值和放 热速率有所增加，但相对稳定。在最大负荷条件下，喷油系统的动态特性优化， 燃料喷射量更加均匀，放热率呈现单峰特征</w:t>
      </w:r>
      <w:r>
        <w:rPr>
          <w:rFonts w:hint="eastAsia" w:eastAsia="宋体"/>
        </w:rPr>
        <w:t>。</w:t>
      </w:r>
    </w:p>
    <w:p>
      <w:pPr>
        <w:spacing w:line="360" w:lineRule="auto"/>
        <w:ind w:firstLine="420" w:firstLineChars="200"/>
        <w:jc w:val="left"/>
        <w:rPr>
          <w:rFonts w:eastAsia="宋体"/>
        </w:rPr>
      </w:pPr>
    </w:p>
    <w:p>
      <w:pPr>
        <w:ind w:firstLine="420" w:firstLineChars="200"/>
        <w:jc w:val="center"/>
        <w:rPr>
          <w:rFonts w:eastAsia="宋体"/>
          <w:color w:val="FF0000"/>
        </w:rPr>
      </w:pPr>
    </w:p>
    <w:p>
      <w:pPr>
        <w:numPr>
          <w:ilvl w:val="0"/>
          <w:numId w:val="2"/>
        </w:numPr>
        <w:spacing w:line="360" w:lineRule="auto"/>
        <w:rPr>
          <w:rFonts w:eastAsia="宋体"/>
          <w:b/>
          <w:bCs/>
        </w:rPr>
      </w:pPr>
      <w:r>
        <w:rPr>
          <w:rFonts w:hint="eastAsia" w:eastAsia="宋体"/>
          <w:b/>
          <w:bCs/>
        </w:rPr>
        <w:t>项目的选择与确定</w:t>
      </w:r>
    </w:p>
    <w:p>
      <w:pPr>
        <w:spacing w:line="360" w:lineRule="auto"/>
        <w:rPr>
          <w:rFonts w:eastAsia="宋体"/>
        </w:rPr>
      </w:pPr>
      <w:r>
        <w:rPr>
          <w:rFonts w:hint="eastAsia" w:eastAsia="宋体"/>
        </w:rPr>
        <w:t>1、运动粘度（50℃）</w:t>
      </w:r>
    </w:p>
    <w:p>
      <w:pPr>
        <w:spacing w:line="360" w:lineRule="auto"/>
        <w:ind w:firstLine="420" w:firstLineChars="200"/>
        <w:rPr>
          <w:rFonts w:eastAsia="宋体"/>
        </w:rPr>
      </w:pPr>
      <w:r>
        <w:rPr>
          <w:rFonts w:hint="eastAsia" w:eastAsia="宋体"/>
        </w:rPr>
        <w:t>运动粘度是液体在重力作用下流动时内摩擦力的量度，其大小表示燃料油的易流动性、易泵送性和易雾化性能的好坏。粘度的大小直接影响输送性能和喷油雾化效果。粘度过高，增大泵送沿程阻力，影响喷油油束的形成，造成雾化不良，不能与空气均匀混合，以致燃烧不完全，甚至形成积碳；粘度过低，油束角度过大，同样不能喷射到设计的位置与空气良好混合，也会导致燃烧不完全，功率下降，同时粘度过低还会影响油泵润滑，而加剧磨损。因此，需要选择合适的粘度范围，以满足船舶使用的需求。台架试验结果显示，船用生物燃料油运动粘度（50℃）小于20mm</w:t>
      </w:r>
      <w:r>
        <w:rPr>
          <w:rFonts w:hint="eastAsia" w:eastAsia="宋体"/>
          <w:vertAlign w:val="superscript"/>
        </w:rPr>
        <w:t>2</w:t>
      </w:r>
      <w:r>
        <w:rPr>
          <w:rFonts w:hint="eastAsia" w:eastAsia="宋体"/>
        </w:rPr>
        <w:t>/s时，会引起尾气排放异常，因此调和出来的船用生物燃料油运动粘度（50℃）应不小于20mm</w:t>
      </w:r>
      <w:r>
        <w:rPr>
          <w:rFonts w:hint="eastAsia" w:eastAsia="宋体"/>
          <w:vertAlign w:val="superscript"/>
        </w:rPr>
        <w:t>2</w:t>
      </w:r>
      <w:r>
        <w:rPr>
          <w:rFonts w:hint="eastAsia" w:eastAsia="宋体"/>
        </w:rPr>
        <w:t>/s。根据我实验室调配样品的测试结果，以及中石化中海船舶燃料有限公司广东分部以及上海中燃的检测结果，运动粘度（50℃）结果均在该范围内，因此本文件设定运动粘度（50℃）的结果为：≥20mm</w:t>
      </w:r>
      <w:r>
        <w:rPr>
          <w:rFonts w:hint="eastAsia" w:eastAsia="宋体"/>
          <w:vertAlign w:val="superscript"/>
        </w:rPr>
        <w:t>2</w:t>
      </w:r>
      <w:r>
        <w:rPr>
          <w:rFonts w:hint="eastAsia" w:eastAsia="宋体"/>
        </w:rPr>
        <w:t>/s，检测方法为：GB/T 30515。</w:t>
      </w:r>
    </w:p>
    <w:p>
      <w:pPr>
        <w:spacing w:line="360" w:lineRule="auto"/>
        <w:rPr>
          <w:rFonts w:eastAsia="宋体"/>
          <w:color w:val="FF0000"/>
        </w:rPr>
      </w:pPr>
    </w:p>
    <w:p>
      <w:pPr>
        <w:spacing w:line="360" w:lineRule="auto"/>
        <w:rPr>
          <w:rFonts w:eastAsia="宋体"/>
        </w:rPr>
      </w:pPr>
      <w:r>
        <w:rPr>
          <w:rFonts w:hint="eastAsia" w:eastAsia="宋体"/>
        </w:rPr>
        <w:t>2、密度（20℃）</w:t>
      </w:r>
    </w:p>
    <w:p>
      <w:pPr>
        <w:spacing w:line="360" w:lineRule="auto"/>
        <w:ind w:firstLine="420" w:firstLineChars="200"/>
        <w:rPr>
          <w:rFonts w:eastAsia="宋体"/>
        </w:rPr>
      </w:pPr>
      <w:r>
        <w:rPr>
          <w:rFonts w:hint="eastAsia" w:eastAsia="宋体"/>
        </w:rPr>
        <w:t>密度是计算装载量和进行贸易交换换算的指标，密度大小与燃料油的化学成分和馏分组成有关，可依据密度初步判定油品的品种和质量。密度大小还影响着分油机的性能，相同条件下，密度大的油品油水分离实力差，密度小的油品，油水分离实力好。根据G</w:t>
      </w:r>
      <w:r>
        <w:rPr>
          <w:rFonts w:eastAsia="宋体"/>
        </w:rPr>
        <w:t>B 25199</w:t>
      </w:r>
      <w:r>
        <w:rPr>
          <w:rFonts w:hint="eastAsia" w:eastAsia="宋体"/>
        </w:rPr>
        <w:t>《B</w:t>
      </w:r>
      <w:r>
        <w:rPr>
          <w:rFonts w:eastAsia="宋体"/>
        </w:rPr>
        <w:t>5</w:t>
      </w:r>
      <w:r>
        <w:rPr>
          <w:rFonts w:hint="eastAsia" w:eastAsia="宋体"/>
        </w:rPr>
        <w:t>柴油》附录C对于生物柴油的密度（2</w:t>
      </w:r>
      <w:r>
        <w:rPr>
          <w:rFonts w:eastAsia="宋体"/>
        </w:rPr>
        <w:t>0</w:t>
      </w:r>
      <w:r>
        <w:rPr>
          <w:rFonts w:hint="eastAsia" w:eastAsia="宋体"/>
        </w:rPr>
        <w:t>℃）要求为</w:t>
      </w:r>
      <w:r>
        <w:rPr>
          <w:rFonts w:eastAsia="宋体"/>
        </w:rPr>
        <w:t>820</w:t>
      </w:r>
      <w:r>
        <w:rPr>
          <w:rFonts w:hint="eastAsia" w:eastAsia="宋体"/>
        </w:rPr>
        <w:t>~</w:t>
      </w:r>
      <w:r>
        <w:rPr>
          <w:rFonts w:eastAsia="宋体"/>
        </w:rPr>
        <w:t>900</w:t>
      </w:r>
      <w:r>
        <w:rPr>
          <w:rFonts w:hint="eastAsia" w:eastAsia="宋体"/>
        </w:rPr>
        <w:t>kg</w:t>
      </w:r>
      <w:r>
        <w:rPr>
          <w:rFonts w:eastAsia="宋体"/>
        </w:rPr>
        <w:t>/</w:t>
      </w:r>
      <w:r>
        <w:rPr>
          <w:rFonts w:hint="eastAsia" w:eastAsia="宋体"/>
        </w:rPr>
        <w:t>m</w:t>
      </w:r>
      <w:r>
        <w:rPr>
          <w:rFonts w:eastAsia="宋体"/>
          <w:vertAlign w:val="superscript"/>
        </w:rPr>
        <w:t>3</w:t>
      </w:r>
      <w:r>
        <w:rPr>
          <w:rFonts w:hint="eastAsia" w:eastAsia="宋体"/>
        </w:rPr>
        <w:t>，根据G</w:t>
      </w:r>
      <w:r>
        <w:rPr>
          <w:rFonts w:eastAsia="宋体"/>
        </w:rPr>
        <w:t>B 17411</w:t>
      </w:r>
      <w:r>
        <w:rPr>
          <w:rFonts w:hint="eastAsia" w:eastAsia="宋体"/>
        </w:rPr>
        <w:t>《船用燃料油》中船用残渣燃料油对密度（2</w:t>
      </w:r>
      <w:r>
        <w:rPr>
          <w:rFonts w:eastAsia="宋体"/>
        </w:rPr>
        <w:t>0</w:t>
      </w:r>
      <w:r>
        <w:rPr>
          <w:rFonts w:hint="eastAsia" w:eastAsia="宋体"/>
        </w:rPr>
        <w:t>℃）的要求为916.5-1006.6 kg</w:t>
      </w:r>
      <w:r>
        <w:rPr>
          <w:rFonts w:eastAsia="宋体"/>
        </w:rPr>
        <w:t>/</w:t>
      </w:r>
      <w:r>
        <w:rPr>
          <w:rFonts w:hint="eastAsia" w:eastAsia="宋体"/>
        </w:rPr>
        <w:t>m</w:t>
      </w:r>
      <w:r>
        <w:rPr>
          <w:rFonts w:eastAsia="宋体"/>
          <w:vertAlign w:val="superscript"/>
        </w:rPr>
        <w:t>3</w:t>
      </w:r>
      <w:r>
        <w:rPr>
          <w:rFonts w:hint="eastAsia" w:eastAsia="宋体"/>
        </w:rPr>
        <w:t>，然而粘度低于80mm</w:t>
      </w:r>
      <w:r>
        <w:rPr>
          <w:rFonts w:hint="eastAsia" w:eastAsia="宋体"/>
          <w:vertAlign w:val="superscript"/>
        </w:rPr>
        <w:t>2</w:t>
      </w:r>
      <w:r>
        <w:rPr>
          <w:rFonts w:hint="eastAsia" w:eastAsia="宋体"/>
        </w:rPr>
        <w:t>/s 的船用油不适合用于调配船用生物燃料油，因此选择密度范围为956.6-1006.6 kg</w:t>
      </w:r>
      <w:r>
        <w:rPr>
          <w:rFonts w:eastAsia="宋体"/>
        </w:rPr>
        <w:t>/</w:t>
      </w:r>
      <w:r>
        <w:rPr>
          <w:rFonts w:hint="eastAsia" w:eastAsia="宋体"/>
        </w:rPr>
        <w:t>m</w:t>
      </w:r>
      <w:r>
        <w:rPr>
          <w:rFonts w:eastAsia="宋体"/>
          <w:vertAlign w:val="superscript"/>
        </w:rPr>
        <w:t>3</w:t>
      </w:r>
      <w:r>
        <w:rPr>
          <w:rFonts w:hint="eastAsia" w:eastAsia="宋体"/>
        </w:rPr>
        <w:t>，根据两种油的混兑比例，密度（20℃）最大值为990kg</w:t>
      </w:r>
      <w:r>
        <w:rPr>
          <w:rFonts w:eastAsia="宋体"/>
        </w:rPr>
        <w:t>/</w:t>
      </w:r>
      <w:r>
        <w:rPr>
          <w:rFonts w:hint="eastAsia" w:eastAsia="宋体"/>
        </w:rPr>
        <w:t>m</w:t>
      </w:r>
      <w:r>
        <w:rPr>
          <w:rFonts w:eastAsia="宋体"/>
          <w:vertAlign w:val="superscript"/>
        </w:rPr>
        <w:t>3</w:t>
      </w:r>
      <w:r>
        <w:rPr>
          <w:rFonts w:hint="eastAsia" w:eastAsia="宋体"/>
        </w:rPr>
        <w:t>，最小值为  888kg</w:t>
      </w:r>
      <w:r>
        <w:rPr>
          <w:rFonts w:eastAsia="宋体"/>
        </w:rPr>
        <w:t>/</w:t>
      </w:r>
      <w:r>
        <w:rPr>
          <w:rFonts w:hint="eastAsia" w:eastAsia="宋体"/>
        </w:rPr>
        <w:t>m</w:t>
      </w:r>
      <w:r>
        <w:rPr>
          <w:rFonts w:eastAsia="宋体"/>
          <w:vertAlign w:val="superscript"/>
        </w:rPr>
        <w:t>3</w:t>
      </w:r>
      <w:r>
        <w:rPr>
          <w:rFonts w:hint="eastAsia" w:eastAsia="宋体"/>
        </w:rPr>
        <w:t>。因此，密度（2</w:t>
      </w:r>
      <w:r>
        <w:rPr>
          <w:rFonts w:eastAsia="宋体"/>
        </w:rPr>
        <w:t>0</w:t>
      </w:r>
      <w:r>
        <w:rPr>
          <w:rFonts w:hint="eastAsia" w:eastAsia="宋体"/>
        </w:rPr>
        <w:t>℃）设定为：888.0~990.0kg</w:t>
      </w:r>
      <w:r>
        <w:rPr>
          <w:rFonts w:eastAsia="宋体"/>
        </w:rPr>
        <w:t>/</w:t>
      </w:r>
      <w:r>
        <w:rPr>
          <w:rFonts w:hint="eastAsia" w:eastAsia="宋体"/>
        </w:rPr>
        <w:t>m</w:t>
      </w:r>
      <w:r>
        <w:rPr>
          <w:rFonts w:eastAsia="宋体"/>
          <w:vertAlign w:val="superscript"/>
        </w:rPr>
        <w:t>3</w:t>
      </w:r>
      <w:r>
        <w:rPr>
          <w:rFonts w:hint="eastAsia" w:eastAsia="宋体"/>
        </w:rPr>
        <w:t xml:space="preserve"> 。检测方法为SH/T 0604,为仲裁法，也可以用GB/T 1884和GB/T 1885。</w:t>
      </w:r>
    </w:p>
    <w:p>
      <w:pPr>
        <w:spacing w:line="360" w:lineRule="auto"/>
        <w:rPr>
          <w:rFonts w:eastAsia="宋体"/>
        </w:rPr>
      </w:pPr>
    </w:p>
    <w:p>
      <w:pPr>
        <w:spacing w:line="360" w:lineRule="auto"/>
        <w:rPr>
          <w:rFonts w:eastAsia="宋体"/>
        </w:rPr>
      </w:pPr>
      <w:r>
        <w:rPr>
          <w:rFonts w:hint="eastAsia" w:eastAsia="宋体"/>
        </w:rPr>
        <w:t>3、硫含量</w:t>
      </w:r>
    </w:p>
    <w:p>
      <w:pPr>
        <w:spacing w:line="360" w:lineRule="auto"/>
        <w:rPr>
          <w:rFonts w:eastAsia="宋体"/>
        </w:rPr>
      </w:pPr>
      <w:r>
        <w:rPr>
          <w:rFonts w:hint="eastAsia" w:eastAsia="宋体"/>
        </w:rPr>
        <w:t xml:space="preserve">    硫含量对于发动机磨损以及尾气污染物的排放都有很大影响，清洁燃料的一个重要要求就是低硫。交通运输部《珠三角、长三角、环渤海（京津冀）水域船舶排放限制区实施方案》规定，船舶在上述水域排放限制区港口靠岸停岸期间，运用硫含量不高于0.50%的燃油。本文件选用的燃料油均为低硫燃料油，根据GB 17411-2015的要求，低硫燃料油的指标为≤0.50%。根据我实验室调配样品的测试结果，以及中石化中海船舶燃料有限公司广东分部以及上海中燃的检测结果，硫含量结果均在0.50%以下。为深入贯彻落实党中央、国务院关于加快推进生态文明建设、 打好污染防治攻坚战和打赢蓝天保卫战的部署，促进绿色航运发展和船舶节能减排，设立船舶大气污染物排放控制区，根据交海发〔2018J 168 号《交通运输部关于印发船舶 大气污染物排放控制区实施方案的通知》， 2019 年 1月 1日起，海船进入排放控制区，应使用硫含量不大于 0. 5%m/m 的船用燃油，大型内河船和江海直达船舶应使用符合新修订的船用燃料油国家标准要求的燃油；其他内河船应使用符合国家标准的柴油。2020 年 1月 1日起，海船进入内河控 制区，应使用硫含量不大于 0. 1%m/m 的船用燃油，因此本文件设定两个等级的硫含量，Ⅰ级指标为不大于0.50%，Ⅱ级指标为不大于0.10%，检测方法设定仲裁法为GB/T 17040，与国标GB17411-2015要求一致，同时增加GB/T 11140测试方法。</w:t>
      </w:r>
    </w:p>
    <w:p>
      <w:pPr>
        <w:spacing w:line="360" w:lineRule="auto"/>
        <w:rPr>
          <w:rFonts w:eastAsia="宋体"/>
        </w:rPr>
      </w:pPr>
    </w:p>
    <w:p>
      <w:pPr>
        <w:spacing w:line="360" w:lineRule="auto"/>
        <w:rPr>
          <w:rFonts w:eastAsia="宋体"/>
        </w:rPr>
      </w:pPr>
      <w:r>
        <w:rPr>
          <w:rFonts w:hint="eastAsia" w:eastAsia="宋体"/>
        </w:rPr>
        <w:t>4、闪点（闭口）</w:t>
      </w:r>
    </w:p>
    <w:p>
      <w:pPr>
        <w:spacing w:line="360" w:lineRule="auto"/>
        <w:rPr>
          <w:rFonts w:eastAsia="宋体"/>
        </w:rPr>
      </w:pPr>
      <w:r>
        <w:rPr>
          <w:rFonts w:hint="eastAsia" w:eastAsia="宋体"/>
        </w:rPr>
        <w:t xml:space="preserve">    闪点是表征石油产品及添加剂着火危险性的指标，对产品储存、运输和使用安全意义重大，根据GB17411-2015中船用残渣燃料油的指标，闪点（闭口）设定为不低于60℃，而生物燃料油的闪点（闭口）不低于130℃，两者混兑之后闪点（闭口）将高于60℃。根据我实验室调配样品的测试结果，以及中石化中海船舶燃料有限公司广东分部以及上海中燃的检测结果，闪点（闭口）均在60℃以上。因此本文件设定闪点（闭口）结果为不低于60℃，检测方法为GB/T 261,与国标GB17411-2015要求一致,也满足产品安全储运的要求。</w:t>
      </w:r>
    </w:p>
    <w:p>
      <w:pPr>
        <w:spacing w:line="360" w:lineRule="auto"/>
        <w:rPr>
          <w:rFonts w:eastAsia="宋体"/>
        </w:rPr>
      </w:pPr>
    </w:p>
    <w:p>
      <w:pPr>
        <w:spacing w:line="360" w:lineRule="auto"/>
        <w:rPr>
          <w:rFonts w:eastAsia="宋体"/>
        </w:rPr>
      </w:pPr>
      <w:r>
        <w:rPr>
          <w:rFonts w:hint="eastAsia" w:eastAsia="宋体"/>
        </w:rPr>
        <w:t>5、硫化氢</w:t>
      </w:r>
    </w:p>
    <w:p>
      <w:pPr>
        <w:spacing w:line="360" w:lineRule="auto"/>
        <w:ind w:firstLine="420"/>
        <w:rPr>
          <w:rFonts w:eastAsia="宋体"/>
        </w:rPr>
      </w:pPr>
      <w:r>
        <w:rPr>
          <w:rFonts w:hint="eastAsia" w:eastAsia="宋体"/>
        </w:rPr>
        <w:t>硫化氢是高毒性气体，人员暴露于高浓度硫化氢气体下是危险的，极端情况下致命。在非常低的浓度时有特殊的腐蛋气味，在高浓度下会导致嗅觉丧失、头痛、头晕眼花，在非常高的浓度下会立即死亡。因此，硫化氢是表征石油产品使用安全性及人员健康性的指标。根据GB17411-2015中船用残渣燃料油的指标，硫化氢设定为不大于2.0mg/kg。根据我实验室调配样品的测试结果，以及中石化中海船舶燃料有限公司广东分部以及上海中燃的检测结果，硫化氢结果均在2.0mg/kg以下。因此本文件设定硫化氢结果为不大于2.0mg/kg，与国标GB17411-2015要求一致，检测方法为GB/T 34101，该标准等同采用IP 570。</w:t>
      </w:r>
    </w:p>
    <w:p>
      <w:pPr>
        <w:spacing w:line="360" w:lineRule="auto"/>
        <w:rPr>
          <w:rFonts w:eastAsia="宋体"/>
        </w:rPr>
      </w:pPr>
    </w:p>
    <w:p>
      <w:pPr>
        <w:spacing w:line="360" w:lineRule="auto"/>
        <w:rPr>
          <w:rFonts w:eastAsia="宋体"/>
        </w:rPr>
      </w:pPr>
      <w:r>
        <w:rPr>
          <w:rFonts w:hint="eastAsia" w:eastAsia="宋体"/>
        </w:rPr>
        <w:t>6、酸值</w:t>
      </w:r>
    </w:p>
    <w:p>
      <w:pPr>
        <w:spacing w:line="360" w:lineRule="auto"/>
        <w:ind w:firstLine="420" w:firstLineChars="200"/>
        <w:rPr>
          <w:rFonts w:eastAsia="宋体"/>
        </w:rPr>
      </w:pPr>
      <w:r>
        <w:rPr>
          <w:rFonts w:hint="eastAsia" w:eastAsia="宋体"/>
        </w:rPr>
        <w:t>由酸性化合物引起的高酸性燃料油往往会加速船用内燃机的毁坏，这种毁坏首先发生在燃料油的注入设备中。采用GB/T 7304测定的燃料油酸值可以预示燃料油中大概存在的酸性化合物。根据GB17411-2015中船用残渣燃料油的指标，酸值设定为不大于2.5mgKOH/g。根据GB 25199《B5柴油》附录C对于生物柴油的酸值要求为不大于0.50mg/KOH/g，按照调配比例，酸值最大值根据计算结果得出为：2.2mg/KOH/g。根据我实验室调配样品的测试结果，以及中石化中海船舶燃料有限公司广东分部以及上海中燃的检测结果，酸值测定结果均在2.2mgKOH/g以下。因此本文件设定酸值结果为不大于2.2mgKOH/g，检测方法为GB/T 7304，与国标GB17411-2015要求一致。</w:t>
      </w:r>
    </w:p>
    <w:p>
      <w:pPr>
        <w:spacing w:line="360" w:lineRule="auto"/>
        <w:rPr>
          <w:rFonts w:eastAsia="宋体"/>
        </w:rPr>
      </w:pPr>
    </w:p>
    <w:p>
      <w:pPr>
        <w:spacing w:line="360" w:lineRule="auto"/>
        <w:rPr>
          <w:rFonts w:eastAsia="宋体"/>
        </w:rPr>
      </w:pPr>
      <w:r>
        <w:rPr>
          <w:rFonts w:hint="eastAsia" w:eastAsia="宋体"/>
        </w:rPr>
        <w:t>7、总沉淀物（老化法）</w:t>
      </w:r>
    </w:p>
    <w:p>
      <w:pPr>
        <w:spacing w:line="360" w:lineRule="auto"/>
        <w:ind w:firstLine="420" w:firstLineChars="200"/>
        <w:rPr>
          <w:rFonts w:eastAsia="宋体"/>
        </w:rPr>
      </w:pPr>
      <w:r>
        <w:rPr>
          <w:rFonts w:hint="eastAsia" w:eastAsia="宋体"/>
        </w:rPr>
        <w:t>油品中的沉淀物会在存储、过滤、喷油过程中积累，加速设备的磨损，堵塞输油管路特别是喷嘴。老化法总沉淀物结果不仅仅反应了燃料中实际存在的总沉淀物，还反映了燃料在存储和运用过程中生成沉淀物的趋势，可用来预测该油品的稳定性。根据GB17411-2015中船用残渣燃料油的指标，总沉淀物（老化法）设定为不大于0.10%，根据GB 25199《B5柴油》附录C对于生物柴油的总沉淀物是不作要求的，同时根据实际样品测试结果，生物柴油无总沉淀物。按照调配比例，总沉淀物（老化法）最大值根据计算结果得出为：0.08%。根据我实验室调配样品的测试结果，以及中石化中海船舶燃料有限公司广东分部以及上海中燃的检测结果，总沉淀物（老化法）结果均在0.08%以下。因此，本文件设定总沉淀物（老化法）结果为不大于0.08%，检测方法为SH/T 0702，与国标GB17411-2015要求一致。</w:t>
      </w:r>
    </w:p>
    <w:p>
      <w:pPr>
        <w:spacing w:line="360" w:lineRule="auto"/>
        <w:rPr>
          <w:rFonts w:eastAsia="宋体"/>
        </w:rPr>
      </w:pPr>
    </w:p>
    <w:p>
      <w:pPr>
        <w:spacing w:line="360" w:lineRule="auto"/>
        <w:rPr>
          <w:rFonts w:eastAsia="宋体"/>
        </w:rPr>
      </w:pPr>
      <w:r>
        <w:rPr>
          <w:rFonts w:hint="eastAsia" w:eastAsia="宋体"/>
        </w:rPr>
        <w:t>8、残炭</w:t>
      </w:r>
    </w:p>
    <w:p>
      <w:pPr>
        <w:spacing w:line="360" w:lineRule="auto"/>
        <w:ind w:firstLine="420" w:firstLineChars="200"/>
        <w:rPr>
          <w:rFonts w:eastAsia="宋体"/>
        </w:rPr>
      </w:pPr>
      <w:r>
        <w:rPr>
          <w:rFonts w:hint="eastAsia" w:eastAsia="宋体"/>
        </w:rPr>
        <w:t>残炭表征的是燃料在燃烧室燃烧结焦结炭的趋势，高残炭燃料会加速气缸和活塞的磨损，甚至引起活塞运转不顺畅。根据GB17411-2015中船用残渣燃料油的指标，残炭设定为不大于20.00%，但是根据多年检测数据以及对使用客户的调研发现，常规使用的船用残渣燃料油的残炭一般不超过18.00%，同时为了响应国家的节能减排政策，本文件选择残炭不超过18.00%的船用残渣燃料油进行最大值测算。根据GB 25199《B5柴油》附录C对于生物柴油的残炭要求为不大于0.050%，按照调配比例，残炭最大值根据计算结果得出为：15%。根据我实验室调配样品的测试结果，以及中石化中海船舶燃料有限公司广东分部以及上海中燃的检测结果，残炭结果均在15%以下。因此，本文件设定残炭结果为不大于15%，检测方法为GB/T 17144。</w:t>
      </w:r>
    </w:p>
    <w:p>
      <w:pPr>
        <w:spacing w:line="360" w:lineRule="auto"/>
        <w:ind w:firstLine="420" w:firstLineChars="200"/>
        <w:rPr>
          <w:rFonts w:eastAsia="宋体"/>
          <w:color w:val="FF0000"/>
        </w:rPr>
      </w:pPr>
    </w:p>
    <w:p>
      <w:pPr>
        <w:spacing w:line="360" w:lineRule="auto"/>
        <w:rPr>
          <w:rFonts w:eastAsia="宋体"/>
        </w:rPr>
      </w:pPr>
      <w:r>
        <w:rPr>
          <w:rFonts w:hint="eastAsia" w:eastAsia="宋体"/>
        </w:rPr>
        <w:t>9、倾点</w:t>
      </w:r>
    </w:p>
    <w:p>
      <w:pPr>
        <w:spacing w:line="360" w:lineRule="auto"/>
        <w:ind w:firstLine="420" w:firstLineChars="200"/>
        <w:rPr>
          <w:rFonts w:eastAsia="宋体"/>
        </w:rPr>
      </w:pPr>
      <w:r>
        <w:rPr>
          <w:rFonts w:hint="eastAsia" w:eastAsia="宋体"/>
        </w:rPr>
        <w:t>倾点是指油品在规定的试验条件下，被冷却的试样能够流动的最低温度，是油品低温流动性的指标。倾点高，低温流动性差，使用中会影响泵送和过滤，因此应确保倾点适合船上设备要求，尤其是船舶运行在寒冷气候条件下。根据GB17411-2015中船用残渣燃料油的指标，倾点设定为不高于30℃，根据我实验室调配样品的测试结果，以及中石化中海船舶燃料有限公司广东分部以及上海中燃的检测结果，倾点结果均在30℃以下。因此，本文件设定倾点结果为不高于30℃，检测方法为GB/T 3535，与国标GB17411-2015要求一致。</w:t>
      </w:r>
    </w:p>
    <w:p>
      <w:pPr>
        <w:spacing w:line="360" w:lineRule="auto"/>
        <w:rPr>
          <w:rFonts w:eastAsia="宋体"/>
        </w:rPr>
      </w:pPr>
    </w:p>
    <w:p>
      <w:pPr>
        <w:spacing w:line="360" w:lineRule="auto"/>
        <w:rPr>
          <w:rFonts w:eastAsia="宋体"/>
        </w:rPr>
      </w:pPr>
      <w:r>
        <w:rPr>
          <w:rFonts w:hint="eastAsia" w:eastAsia="宋体"/>
        </w:rPr>
        <w:t>10、水分</w:t>
      </w:r>
    </w:p>
    <w:p>
      <w:pPr>
        <w:spacing w:line="360" w:lineRule="auto"/>
        <w:rPr>
          <w:rFonts w:eastAsia="宋体"/>
        </w:rPr>
      </w:pPr>
      <w:r>
        <w:rPr>
          <w:rFonts w:hint="eastAsia" w:eastAsia="宋体"/>
        </w:rPr>
        <w:t xml:space="preserve">    燃料油在生产，运输和存储过程中，因为种种原因，会混入一定量的水分，并以溶解态，悬浮态或游离态三种形式存在于油品中。高含水量燃料油可能会引发多种不利于存储，燃烧和设备的结果：与燃烧产生的SO3结合生成H2SO4腐蚀设备，溶解后带入无机盐沉积在燃烧室内加速设备磨损；降低燃料油热值，因低温凝固影响油品流动性；导致燃烧熄火等。根据GB17411-2015中船用残渣燃料油的指标，水分设定为不大于0.50%，根据我实验室调配样品的测试结果，以及中石化中海船舶燃料有限公司广东分部以及上海中燃的检测结果，水分结果均在0.50%以下。因此，本文件设定水分结果为不大于0.50%，检测方法仲裁法为GB/T 260，与国标GB17411-2015要求一致，同时增加GB/T 11133测试方法。</w:t>
      </w:r>
    </w:p>
    <w:p>
      <w:pPr>
        <w:spacing w:line="360" w:lineRule="auto"/>
        <w:rPr>
          <w:rFonts w:eastAsia="宋体"/>
        </w:rPr>
      </w:pPr>
    </w:p>
    <w:p>
      <w:pPr>
        <w:spacing w:line="360" w:lineRule="auto"/>
        <w:rPr>
          <w:rFonts w:eastAsia="宋体"/>
        </w:rPr>
      </w:pPr>
      <w:r>
        <w:rPr>
          <w:rFonts w:hint="eastAsia" w:eastAsia="宋体"/>
        </w:rPr>
        <w:t>11、灰分</w:t>
      </w:r>
    </w:p>
    <w:p>
      <w:pPr>
        <w:spacing w:line="360" w:lineRule="auto"/>
        <w:ind w:firstLine="420" w:firstLineChars="200"/>
        <w:rPr>
          <w:rFonts w:eastAsia="宋体"/>
        </w:rPr>
      </w:pPr>
      <w:r>
        <w:rPr>
          <w:rFonts w:hint="eastAsia" w:eastAsia="宋体"/>
        </w:rPr>
        <w:t>灰分是燃烧高温灰化后剩余的无机物，通常呈粉末状。灰分的主要来源是炼制过程中的金属催化剂，原油中残留的无机盐，储运过程中的铁锈，还可能是非法添加废旧润滑油中的金属添加剂或磨损元素。从来源上看，灰分高的燃料油测试所得金属元素也高，灰分低的燃料油金属元素也低。灰分会附着在设备受热面，使热传导变差，灰分中含有的大量金属元素也会加速设备的磨损。根据GB17411-2015中船用残渣燃料油的指标，灰分设定为不大于0.150%，但是根据多年检测数据以及对使用客户的调研发现，常规使用的船用残渣燃料油的灰分一般不超过0.10%，同时为了响应国家的节能减排政策，本文件选择灰分不超过0.10%的船用残渣燃料油进行最大值测算。根据GB 25199《B5柴油》附录C对于生物柴油的灰分要求为不大于0.02%，按照调配比例，灰分最大值根据计算结果得出为：0.09%。根据我实验室调配样品的测试结果，以及中石化中海船舶燃料有限公司广东分部以及上海中燃的检测结果，灰分结果均在0.09%以下。因此，本文件设定灰分结果为不大于0.09%，检测方法为GB/T 508，与国标GB17411-2015要求一致。</w:t>
      </w:r>
    </w:p>
    <w:p>
      <w:pPr>
        <w:spacing w:line="360" w:lineRule="auto"/>
        <w:rPr>
          <w:rFonts w:eastAsia="宋体"/>
        </w:rPr>
      </w:pPr>
      <w:r>
        <w:rPr>
          <w:rFonts w:hint="eastAsia" w:eastAsia="宋体"/>
        </w:rPr>
        <w:t>12、净热值</w:t>
      </w:r>
    </w:p>
    <w:p>
      <w:pPr>
        <w:spacing w:line="360" w:lineRule="auto"/>
        <w:ind w:firstLine="420" w:firstLineChars="200"/>
        <w:rPr>
          <w:color w:val="538135"/>
          <w:highlight w:val="yellow"/>
        </w:rPr>
      </w:pPr>
      <w:r>
        <w:rPr>
          <w:rFonts w:hint="eastAsia" w:eastAsia="宋体"/>
        </w:rPr>
        <w:t>燃料的热值是在一定条件下，单位质量的燃料完全燃烧时所释放出的热量。船用燃料油的净热值是评价燃料将热能转化为动能的重要依据，热能则是船舶动力的主要来源。目前，国内船用燃料油市场较为混乱，油品质量优劣不齐，尤其是残渣型燃料油多为混调而成，组分复杂。由于非石油基组分热值较低，使得调和的船用燃料油成品热值不高，影响使用；同时非石油基组分的进入还会影响船用燃料油的其他品质，威胁到船舶的正常运行。根据GB17411-2015中船用残渣燃料油的指标，净热值设定为不小于39.8MJ/kg，检测标准为GB/T 384，根据我实验室调配样品的测试结果，以及中石化中海船舶燃料有限公司广东分部以及上海中燃的检测结果，不同的混兑比例的船用生物燃料油，净热值结果会随着生物燃料混兑比例的提高，净热值会出现相应的降低。主要至因为生物柴油的净热值相对船用燃料油的净热值会比较低。同时，经过试验发现，采用GB/T 384和ASTM D240方法测试的净热值，随着生物燃料比例的增高，ASTM D240方法的测试结果会比GB/T 384方法的测试结果偏低。结合台架试验报告，ASTM D240方法的测试结果与台架试验结果更吻合。2023年修正案：MEPC.376（80）会议决议——船用燃料油全生命周期温室气体强度指南（LCA指南）中提到，生物柴油（FAME）的热值一般为37.2MJ/kg，根据实验室测试数据，不同比例的生物燃料油的热值呈线性关系，据此推算：船用生物燃料油最低值为：38.5MJ/kg。根据我实验室调配样品的测试结果，以及中石化中海船舶燃料有限公司广东分部以及上海中燃的检测结果，灰分结果均在38.5MJ/kg以上。因此，本文件设定净热值结果为不小于38.5MJ/kg ，检测方法ASTM D240为仲裁法，也可采用GB/T 384方法，结果有争议时，以ASTM D240为准 。</w:t>
      </w:r>
    </w:p>
    <w:p>
      <w:pPr>
        <w:spacing w:line="360" w:lineRule="auto"/>
        <w:rPr>
          <w:rFonts w:eastAsia="宋体"/>
        </w:rPr>
      </w:pPr>
      <w:r>
        <w:drawing>
          <wp:inline distT="0" distB="0" distL="114300" distR="114300">
            <wp:extent cx="5471160" cy="2103120"/>
            <wp:effectExtent l="4445" t="4445" r="10795" b="10795"/>
            <wp:docPr id="5" name="图表 5"/>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pPr>
        <w:spacing w:line="360" w:lineRule="auto"/>
        <w:rPr>
          <w:rFonts w:eastAsia="宋体"/>
        </w:rPr>
      </w:pPr>
      <w:r>
        <w:rPr>
          <w:rFonts w:hint="eastAsia" w:eastAsia="宋体"/>
        </w:rPr>
        <w:t>14、钒、钠、铝+硅、钙、锌、磷</w:t>
      </w:r>
    </w:p>
    <w:p>
      <w:pPr>
        <w:spacing w:line="360" w:lineRule="auto"/>
        <w:ind w:firstLine="420" w:firstLineChars="200"/>
        <w:rPr>
          <w:rFonts w:eastAsia="宋体"/>
        </w:rPr>
      </w:pPr>
      <w:r>
        <w:rPr>
          <w:rFonts w:hint="eastAsia" w:eastAsia="宋体"/>
        </w:rPr>
        <w:t>钒：钒是燃料油中的天然组分，它以含有其他元素复杂的化学分子形式存在。这些分子在残渣燃料油中以溶解状态存在。因此在船上没有实用的方法可以将钒从燃料油中除去。限制钒的唯一实际方法就是限制它的含量。钒含量高可能会对主机热通道产生电化学腐蚀，也可能燃烧后附着在设备表面产生结垢。根据GB17411-2015中船用残渣燃料油的指标，钒设定为不大于450mg/kg，但是根据多年检测数据以及对使用客户的调研发现，常规使用的船用残渣燃料油的钒一般不超过150mg/kg，同时为了响应国家的节能减排政策，本文件选择钒含量不超过150的船用残渣燃料油进行最大值测算。而根据GB 25199《B5柴油》附录C对于生物柴油是不含有钒的，根据调配的生物燃料油，计算得出钒最大含量为130mg/kg，根据我实验室调配样品的测试结果，以及中石化中海船舶燃料有限公司广东分部以及上海中燃的检测结果，钒结果均在130mg/kg以下。因此，本文件设定钒结果为不大于130mg/kg，检测方法为IP 501。</w:t>
      </w:r>
    </w:p>
    <w:p>
      <w:pPr>
        <w:spacing w:line="360" w:lineRule="auto"/>
        <w:ind w:firstLine="420" w:firstLineChars="200"/>
        <w:rPr>
          <w:rFonts w:eastAsia="宋体"/>
        </w:rPr>
      </w:pPr>
      <w:r>
        <w:rPr>
          <w:rFonts w:hint="eastAsia" w:eastAsia="宋体"/>
        </w:rPr>
        <w:t>钠：富含钒和钠的燃料油灰分溶解温度降低，通常认为钠钒比例为1:3时的灰分溶解温度最低，溶解后的灰分附着在燃烧系统表面，对设备有热腐蚀作用。同时钠含量的上升也被视为燃料油中是否混有海水的推断标准之一。根据GB17411-2015中船用残渣燃料油的指标，钠设定为不大于100mg/kg，而根据根据GB 25199《B5柴油》附录C对于生物柴油是不含有钠的，根据调配的生物燃料油，计算得出钒最大含量为85mg/kg，根据我实验室调配样品的测试结果，以及中石化中海船舶燃料有限公司广东分部以及上海中燃的检测结果，钠结果均在85mg/kg以下。因此，本文件设定钠结果为不大于85mg/kg，检测方法为IP 501。</w:t>
      </w:r>
    </w:p>
    <w:p>
      <w:pPr>
        <w:spacing w:line="360" w:lineRule="auto"/>
        <w:ind w:firstLine="420" w:firstLineChars="200"/>
        <w:rPr>
          <w:rFonts w:eastAsia="宋体"/>
        </w:rPr>
      </w:pPr>
      <w:r>
        <w:rPr>
          <w:rFonts w:hint="eastAsia" w:eastAsia="宋体"/>
        </w:rPr>
        <w:t>铝+硅：铝和硅主要来源于原油加工过程中的金属催化剂，铝和硅质硬，是设备磨损的主要因素。根据GB17411-2015中船用残渣燃料油的指标，铝+硅设定为不大于60mg/kg，而根据根据GB 25199《B5柴油》附录C对于生物柴油是不含有铝+硅的，根据调配的生物燃料油，计算得出铝+硅最大含量为50mg/kg根据我实验室调配样品的测试结果，以及中石化中海船舶燃料有限公司广东分部以及上海中燃的检测结果，铝+硅结果均在50mg/kg以下。因此，本文件设定铝+硅结果为不大于50mg/kg，检测方法为IP 501。</w:t>
      </w:r>
    </w:p>
    <w:p>
      <w:pPr>
        <w:spacing w:line="360" w:lineRule="auto"/>
        <w:ind w:firstLine="420" w:firstLineChars="200"/>
        <w:rPr>
          <w:rFonts w:eastAsia="宋体"/>
        </w:rPr>
      </w:pPr>
      <w:r>
        <w:rPr>
          <w:rFonts w:hint="eastAsia" w:eastAsia="宋体"/>
        </w:rPr>
        <w:t>钙、锌、磷：润滑油多为钙锌配方、钙磷配方或钙锌磷配方，燃料油中据此推断是否含有用过的润滑油。燃料油汇总掺杂用过的润滑油会带来各种危害：润滑油在使用过程中缓慢变质，含有的酸性物质会腐蚀设备；带入的磨损颗粒会增加灰分，再次磨损燃油系统；含有的各种有害物质甚至是致癌物燃烧后排入大气污染环境并损害船员健康。根GB17411-2015中船用残渣燃料油的指标，钙大于30mg/kg且锌大于15mg/kg或钙大于30mg/kg且磷于15mg/kg认为该燃料油中含有使用过的润滑油。根据我实验室调配样品的测试结果，以及中石化中海船舶燃料有限公司广东分部以及上海中燃的检测结果，均显示不含有ULO。因此，本文件设定钙锌磷指标与国标GB17411-2015要求一致，检测方法为IP 501。</w:t>
      </w:r>
    </w:p>
    <w:p>
      <w:pPr>
        <w:spacing w:line="360" w:lineRule="auto"/>
        <w:ind w:firstLine="420" w:firstLineChars="200"/>
        <w:jc w:val="left"/>
        <w:rPr>
          <w:rFonts w:eastAsia="宋体"/>
        </w:rPr>
      </w:pPr>
    </w:p>
    <w:p>
      <w:pPr>
        <w:spacing w:line="360" w:lineRule="auto"/>
        <w:rPr>
          <w:rFonts w:eastAsia="宋体"/>
        </w:rPr>
      </w:pPr>
      <w:r>
        <w:rPr>
          <w:rFonts w:hint="eastAsia" w:eastAsia="宋体"/>
        </w:rPr>
        <w:t>15、脂肪酸甲酯</w:t>
      </w:r>
    </w:p>
    <w:p>
      <w:pPr>
        <w:spacing w:line="360" w:lineRule="auto"/>
        <w:ind w:firstLine="420" w:firstLineChars="200"/>
        <w:rPr>
          <w:rFonts w:eastAsia="宋体"/>
        </w:rPr>
      </w:pPr>
      <w:r>
        <w:rPr>
          <w:rFonts w:hint="eastAsia" w:eastAsia="宋体"/>
        </w:rPr>
        <w:t>生物柴油的主要成分是脂肪酸甲酯（FAME），且用于调和满足本标准要求的生物柴油（BD100）必须满足GB 25199《B5柴油》附录C的要求。本文件中的牌号确定依据主要就是根据船用生物燃料油中的脂肪酸甲酯含量进行划分。因此根据不同的牌号，将脂肪酸甲酯确定不同的指标值。目前关于生物燃料的脂肪酸甲酯测试方法主要有：GB/T 23801《中间馏分油中脂肪酸甲酯含量的测定 红外光谱法》、NB/SH/T 0831《生物柴油中脂肪酸甲酯及亚麻酸甲酯含量的测定 气相色谱法》、EN 14078《液体石油产品-中间馏分油中脂肪酸甲酯（FAME）含量的测定-红外光谱法》、EN 14103《动植物油脂衍生物-脂肪酸甲酯-酯含量和亚麻酸甲酯含量的测定》、ASTM D7371《用中红外光谱法（FTIR-ATR-PLS法）测定柴油机燃料油中脂肪酸甲酯含量的标准试验方法》、NB/SH/T 0916《柴油中生物柴油（脂肪酸甲酯）含量的测定 红外光谱法》等，这些方法都是针对柴油机燃料或者纯生物柴油测定脂肪酸甲酯含量的方法，并不适用于船用生物燃料油脂肪酸甲酯含量的测定，本文件中脂肪酸甲酯的测定方法将采用质谱法进行定性以及定量测定。具体测试方法详见标准附录A。同时，根据实验数据可知，参照使用NB/SH/T 0916进行测定也是可以的。因此本文件推荐试验方法为附录A以及NB/SH/T 0916，结果有争议时，以附录A测试结果为准。根据船用生物燃料的牌号B20，B24，B30，B50将脂肪酸甲酯确定为以下指标：</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Layout w:type="autofit"/>
        <w:tblCellMar>
          <w:top w:w="0" w:type="dxa"/>
          <w:left w:w="108" w:type="dxa"/>
          <w:bottom w:w="0" w:type="dxa"/>
          <w:right w:w="108" w:type="dxa"/>
        </w:tblCellMar>
      </w:tblPr>
      <w:tblGrid>
        <w:gridCol w:w="2466"/>
        <w:gridCol w:w="1116"/>
        <w:gridCol w:w="1116"/>
        <w:gridCol w:w="1116"/>
        <w:gridCol w:w="1116"/>
        <w:gridCol w:w="936"/>
      </w:tblGrid>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432" w:hRule="atLeast"/>
          <w:jc w:val="center"/>
        </w:trPr>
        <w:tc>
          <w:tcPr>
            <w:tcW w:w="0" w:type="auto"/>
            <w:vMerge w:val="restart"/>
            <w:vAlign w:val="center"/>
          </w:tcPr>
          <w:p>
            <w:pPr>
              <w:spacing w:line="360" w:lineRule="auto"/>
              <w:jc w:val="center"/>
              <w:rPr>
                <w:rFonts w:ascii="宋体" w:hAnsi="宋体"/>
                <w:sz w:val="18"/>
                <w:szCs w:val="18"/>
              </w:rPr>
            </w:pPr>
            <w:r>
              <w:rPr>
                <w:rFonts w:hint="eastAsia" w:ascii="宋体" w:hAnsi="宋体"/>
                <w:sz w:val="18"/>
                <w:szCs w:val="18"/>
              </w:rPr>
              <w:t>项目</w:t>
            </w:r>
          </w:p>
        </w:tc>
        <w:tc>
          <w:tcPr>
            <w:tcW w:w="0" w:type="auto"/>
            <w:gridSpan w:val="4"/>
            <w:tcBorders>
              <w:bottom w:val="single" w:color="auto" w:sz="4" w:space="0"/>
            </w:tcBorders>
            <w:vAlign w:val="center"/>
          </w:tcPr>
          <w:p>
            <w:pPr>
              <w:spacing w:line="360" w:lineRule="auto"/>
              <w:jc w:val="center"/>
              <w:rPr>
                <w:rFonts w:ascii="宋体" w:hAnsi="宋体"/>
                <w:sz w:val="18"/>
                <w:szCs w:val="18"/>
              </w:rPr>
            </w:pPr>
            <w:r>
              <w:rPr>
                <w:rFonts w:hint="eastAsia" w:ascii="宋体" w:hAnsi="宋体"/>
                <w:sz w:val="18"/>
                <w:szCs w:val="18"/>
              </w:rPr>
              <w:t>指标</w:t>
            </w:r>
          </w:p>
        </w:tc>
        <w:tc>
          <w:tcPr>
            <w:tcW w:w="0" w:type="auto"/>
            <w:vMerge w:val="restart"/>
            <w:vAlign w:val="center"/>
          </w:tcPr>
          <w:p>
            <w:pPr>
              <w:spacing w:line="360" w:lineRule="auto"/>
              <w:jc w:val="center"/>
              <w:rPr>
                <w:rFonts w:ascii="宋体" w:hAnsi="宋体"/>
                <w:sz w:val="18"/>
                <w:szCs w:val="18"/>
              </w:rPr>
            </w:pPr>
            <w:r>
              <w:rPr>
                <w:rFonts w:hint="eastAsia" w:ascii="宋体" w:hAnsi="宋体"/>
                <w:sz w:val="18"/>
                <w:szCs w:val="18"/>
              </w:rPr>
              <w:t>试验方法</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360" w:hRule="atLeast"/>
          <w:jc w:val="center"/>
        </w:trPr>
        <w:tc>
          <w:tcPr>
            <w:tcW w:w="0" w:type="auto"/>
            <w:vMerge w:val="continue"/>
            <w:vAlign w:val="center"/>
          </w:tcPr>
          <w:p>
            <w:pPr>
              <w:spacing w:line="360" w:lineRule="auto"/>
              <w:jc w:val="center"/>
              <w:rPr>
                <w:rFonts w:ascii="宋体" w:hAnsi="宋体"/>
                <w:sz w:val="18"/>
                <w:szCs w:val="18"/>
              </w:rPr>
            </w:pPr>
          </w:p>
        </w:tc>
        <w:tc>
          <w:tcPr>
            <w:tcW w:w="1116" w:type="dxa"/>
            <w:tcBorders>
              <w:top w:val="single" w:color="auto" w:sz="4" w:space="0"/>
              <w:right w:val="single" w:color="auto" w:sz="4" w:space="0"/>
            </w:tcBorders>
            <w:vAlign w:val="center"/>
          </w:tcPr>
          <w:p>
            <w:pPr>
              <w:spacing w:line="360" w:lineRule="auto"/>
              <w:jc w:val="center"/>
              <w:rPr>
                <w:rFonts w:ascii="宋体" w:hAnsi="宋体"/>
                <w:sz w:val="18"/>
                <w:szCs w:val="18"/>
              </w:rPr>
            </w:pPr>
            <w:r>
              <w:rPr>
                <w:rFonts w:hint="eastAsia" w:ascii="宋体" w:hAnsi="宋体"/>
                <w:sz w:val="18"/>
                <w:szCs w:val="18"/>
              </w:rPr>
              <w:t>B</w:t>
            </w:r>
            <w:r>
              <w:rPr>
                <w:rFonts w:ascii="宋体" w:hAnsi="宋体"/>
                <w:sz w:val="18"/>
                <w:szCs w:val="18"/>
              </w:rPr>
              <w:t>20</w:t>
            </w:r>
          </w:p>
        </w:tc>
        <w:tc>
          <w:tcPr>
            <w:tcW w:w="1116" w:type="dxa"/>
            <w:tcBorders>
              <w:top w:val="single" w:color="auto" w:sz="4" w:space="0"/>
              <w:left w:val="single" w:color="auto" w:sz="4" w:space="0"/>
            </w:tcBorders>
            <w:vAlign w:val="center"/>
          </w:tcPr>
          <w:p>
            <w:pPr>
              <w:spacing w:line="360" w:lineRule="auto"/>
              <w:jc w:val="center"/>
              <w:rPr>
                <w:rFonts w:ascii="宋体" w:hAnsi="宋体"/>
                <w:sz w:val="18"/>
                <w:szCs w:val="18"/>
              </w:rPr>
            </w:pPr>
            <w:r>
              <w:rPr>
                <w:rFonts w:hint="eastAsia" w:ascii="宋体" w:hAnsi="宋体"/>
                <w:sz w:val="18"/>
                <w:szCs w:val="18"/>
              </w:rPr>
              <w:t>B</w:t>
            </w:r>
            <w:r>
              <w:rPr>
                <w:rFonts w:ascii="宋体" w:hAnsi="宋体"/>
                <w:sz w:val="18"/>
                <w:szCs w:val="18"/>
              </w:rPr>
              <w:t>24</w:t>
            </w:r>
          </w:p>
        </w:tc>
        <w:tc>
          <w:tcPr>
            <w:tcW w:w="0" w:type="auto"/>
            <w:vAlign w:val="center"/>
          </w:tcPr>
          <w:p>
            <w:pPr>
              <w:spacing w:line="360" w:lineRule="auto"/>
              <w:jc w:val="center"/>
              <w:rPr>
                <w:rFonts w:ascii="宋体" w:hAnsi="宋体"/>
                <w:sz w:val="18"/>
                <w:szCs w:val="18"/>
              </w:rPr>
            </w:pPr>
            <w:r>
              <w:rPr>
                <w:rFonts w:ascii="宋体" w:hAnsi="宋体"/>
                <w:sz w:val="18"/>
                <w:szCs w:val="18"/>
              </w:rPr>
              <w:t>B30</w:t>
            </w:r>
          </w:p>
        </w:tc>
        <w:tc>
          <w:tcPr>
            <w:tcW w:w="0" w:type="auto"/>
            <w:vAlign w:val="center"/>
          </w:tcPr>
          <w:p>
            <w:pPr>
              <w:spacing w:line="360" w:lineRule="auto"/>
              <w:jc w:val="center"/>
              <w:rPr>
                <w:rFonts w:ascii="宋体" w:hAnsi="宋体"/>
                <w:sz w:val="18"/>
                <w:szCs w:val="18"/>
              </w:rPr>
            </w:pPr>
            <w:r>
              <w:rPr>
                <w:rFonts w:hint="eastAsia" w:ascii="宋体" w:hAnsi="宋体"/>
                <w:sz w:val="18"/>
                <w:szCs w:val="18"/>
              </w:rPr>
              <w:t>B50</w:t>
            </w:r>
          </w:p>
        </w:tc>
        <w:tc>
          <w:tcPr>
            <w:tcW w:w="0" w:type="auto"/>
            <w:vMerge w:val="continue"/>
            <w:vAlign w:val="center"/>
          </w:tcPr>
          <w:p>
            <w:pPr>
              <w:spacing w:line="360" w:lineRule="auto"/>
              <w:jc w:val="center"/>
              <w:rPr>
                <w:rFonts w:ascii="宋体" w:hAnsi="宋体"/>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31" w:hRule="atLeast"/>
          <w:jc w:val="center"/>
        </w:trPr>
        <w:tc>
          <w:tcPr>
            <w:tcW w:w="0" w:type="auto"/>
            <w:vAlign w:val="center"/>
          </w:tcPr>
          <w:p>
            <w:pPr>
              <w:spacing w:line="360" w:lineRule="auto"/>
              <w:jc w:val="center"/>
              <w:rPr>
                <w:rFonts w:ascii="宋体" w:hAnsi="宋体" w:eastAsia="宋体"/>
                <w:sz w:val="18"/>
                <w:szCs w:val="18"/>
              </w:rPr>
            </w:pPr>
            <w:r>
              <w:rPr>
                <w:rFonts w:hint="eastAsia" w:ascii="宋体" w:hAnsi="宋体"/>
                <w:sz w:val="18"/>
                <w:szCs w:val="18"/>
              </w:rPr>
              <w:t>脂肪酸甲酯（质量分数），%</w:t>
            </w:r>
          </w:p>
        </w:tc>
        <w:tc>
          <w:tcPr>
            <w:tcW w:w="1116" w:type="dxa"/>
            <w:tcBorders>
              <w:right w:val="single" w:color="auto" w:sz="4" w:space="0"/>
            </w:tcBorders>
            <w:vAlign w:val="center"/>
          </w:tcPr>
          <w:p>
            <w:pPr>
              <w:spacing w:line="360" w:lineRule="auto"/>
              <w:jc w:val="center"/>
              <w:rPr>
                <w:rFonts w:ascii="宋体" w:hAnsi="宋体" w:eastAsia="宋体"/>
                <w:sz w:val="18"/>
                <w:szCs w:val="18"/>
              </w:rPr>
            </w:pPr>
            <w:r>
              <w:rPr>
                <w:rFonts w:hint="eastAsia" w:ascii="宋体" w:hAnsi="宋体"/>
                <w:sz w:val="18"/>
                <w:szCs w:val="18"/>
              </w:rPr>
              <w:t>＞15，≤20</w:t>
            </w:r>
          </w:p>
        </w:tc>
        <w:tc>
          <w:tcPr>
            <w:tcW w:w="1116" w:type="dxa"/>
            <w:tcBorders>
              <w:left w:val="single" w:color="auto" w:sz="4" w:space="0"/>
            </w:tcBorders>
            <w:vAlign w:val="center"/>
          </w:tcPr>
          <w:p>
            <w:pPr>
              <w:spacing w:line="360" w:lineRule="auto"/>
              <w:jc w:val="left"/>
              <w:rPr>
                <w:rFonts w:ascii="宋体" w:hAnsi="宋体" w:eastAsia="宋体"/>
                <w:sz w:val="18"/>
                <w:szCs w:val="18"/>
              </w:rPr>
            </w:pPr>
            <w:r>
              <w:rPr>
                <w:rFonts w:hint="eastAsia" w:ascii="宋体" w:hAnsi="宋体"/>
                <w:sz w:val="18"/>
                <w:szCs w:val="18"/>
              </w:rPr>
              <w:t>＞20，≤24</w:t>
            </w:r>
          </w:p>
        </w:tc>
        <w:tc>
          <w:tcPr>
            <w:tcW w:w="0" w:type="auto"/>
            <w:vAlign w:val="center"/>
          </w:tcPr>
          <w:p>
            <w:pPr>
              <w:spacing w:line="360" w:lineRule="auto"/>
              <w:jc w:val="left"/>
              <w:rPr>
                <w:rFonts w:ascii="宋体" w:hAnsi="宋体" w:eastAsia="宋体"/>
                <w:sz w:val="18"/>
                <w:szCs w:val="18"/>
              </w:rPr>
            </w:pPr>
            <w:r>
              <w:rPr>
                <w:rFonts w:hint="eastAsia" w:ascii="宋体" w:hAnsi="宋体"/>
                <w:sz w:val="18"/>
                <w:szCs w:val="18"/>
              </w:rPr>
              <w:t>＞24，≤30</w:t>
            </w:r>
          </w:p>
        </w:tc>
        <w:tc>
          <w:tcPr>
            <w:tcW w:w="0" w:type="auto"/>
            <w:vAlign w:val="center"/>
          </w:tcPr>
          <w:p>
            <w:pPr>
              <w:spacing w:line="360" w:lineRule="auto"/>
              <w:jc w:val="left"/>
              <w:rPr>
                <w:rFonts w:ascii="宋体" w:hAnsi="宋体" w:eastAsia="宋体"/>
                <w:sz w:val="18"/>
                <w:szCs w:val="18"/>
              </w:rPr>
            </w:pPr>
            <w:r>
              <w:rPr>
                <w:rFonts w:hint="eastAsia" w:ascii="宋体" w:hAnsi="宋体"/>
                <w:sz w:val="18"/>
                <w:szCs w:val="18"/>
              </w:rPr>
              <w:t>＞40，≤50</w:t>
            </w:r>
          </w:p>
        </w:tc>
        <w:tc>
          <w:tcPr>
            <w:tcW w:w="0" w:type="auto"/>
            <w:vAlign w:val="center"/>
          </w:tcPr>
          <w:p>
            <w:pPr>
              <w:spacing w:line="360" w:lineRule="auto"/>
              <w:jc w:val="center"/>
              <w:rPr>
                <w:rFonts w:ascii="宋体" w:hAnsi="宋体" w:eastAsia="宋体"/>
                <w:sz w:val="18"/>
                <w:szCs w:val="18"/>
              </w:rPr>
            </w:pPr>
            <w:r>
              <w:rPr>
                <w:rFonts w:hint="eastAsia" w:ascii="宋体" w:hAnsi="宋体"/>
                <w:sz w:val="18"/>
                <w:szCs w:val="18"/>
              </w:rPr>
              <w:t>附录A</w:t>
            </w:r>
          </w:p>
        </w:tc>
      </w:tr>
    </w:tbl>
    <w:p>
      <w:pPr>
        <w:rPr>
          <w:rFonts w:eastAsia="宋体"/>
        </w:rPr>
      </w:pPr>
    </w:p>
    <w:p>
      <w:pPr>
        <w:spacing w:line="360" w:lineRule="auto"/>
        <w:ind w:firstLine="420" w:firstLineChars="200"/>
        <w:rPr>
          <w:rFonts w:eastAsia="宋体"/>
        </w:rPr>
      </w:pPr>
      <w:r>
        <w:rPr>
          <w:rFonts w:hint="eastAsia" w:eastAsia="宋体"/>
        </w:rPr>
        <w:t>GB 17411-2015中船用残渣燃料油含有项目碳芳香指数（CCAI），本文件中将不再引用该项目，原因如下：碳芳香度指数（CCAI）是表征残渣船舶燃料着火性的一个重要指标，由密度和粘度决定，同时，它不是提供残渣燃料油的燃烧性信息，它提供的是着火迟后期（滞燃期），通过观察CCAI数据，可以避免密度粘度关系异常的燃料可能导致燃料的滞燃期延长。主要是表征石油碳氢化合物的一个指标，但是加入生物柴油后，已经不适用该方法来进行测算。因此本文件中将不再将该项目列入重要指标项目。</w:t>
      </w:r>
    </w:p>
    <w:p>
      <w:pPr>
        <w:spacing w:line="360" w:lineRule="auto"/>
        <w:ind w:firstLine="420" w:firstLineChars="200"/>
        <w:rPr>
          <w:rFonts w:eastAsia="宋体"/>
        </w:rPr>
      </w:pPr>
      <w:r>
        <w:rPr>
          <w:rFonts w:hint="eastAsia" w:eastAsia="宋体"/>
        </w:rPr>
        <w:t>综合上述，船用生物燃料油的项目和指标确定如下：</w:t>
      </w:r>
    </w:p>
    <w:p>
      <w:pPr>
        <w:spacing w:line="360" w:lineRule="auto"/>
        <w:ind w:firstLine="420" w:firstLineChars="200"/>
        <w:rPr>
          <w:rFonts w:eastAsia="宋体"/>
        </w:rPr>
      </w:pPr>
    </w:p>
    <w:p>
      <w:pPr>
        <w:spacing w:line="360" w:lineRule="auto"/>
        <w:rPr>
          <w:rFonts w:eastAsia="宋体"/>
          <w:color w:val="0000FF"/>
        </w:rPr>
      </w:pPr>
    </w:p>
    <w:tbl>
      <w:tblPr>
        <w:tblStyle w:val="4"/>
        <w:tblW w:w="8510" w:type="dxa"/>
        <w:jc w:val="center"/>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Layout w:type="autofit"/>
        <w:tblCellMar>
          <w:top w:w="0" w:type="dxa"/>
          <w:left w:w="108" w:type="dxa"/>
          <w:bottom w:w="0" w:type="dxa"/>
          <w:right w:w="108" w:type="dxa"/>
        </w:tblCellMar>
      </w:tblPr>
      <w:tblGrid>
        <w:gridCol w:w="2235"/>
        <w:gridCol w:w="1040"/>
        <w:gridCol w:w="889"/>
        <w:gridCol w:w="1081"/>
        <w:gridCol w:w="1131"/>
        <w:gridCol w:w="2134"/>
      </w:tblGrid>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31" w:hRule="atLeast"/>
          <w:jc w:val="center"/>
        </w:trPr>
        <w:tc>
          <w:tcPr>
            <w:tcW w:w="2235" w:type="dxa"/>
            <w:vMerge w:val="restart"/>
            <w:vAlign w:val="center"/>
          </w:tcPr>
          <w:p>
            <w:pPr>
              <w:jc w:val="center"/>
              <w:rPr>
                <w:rFonts w:ascii="宋体" w:hAnsi="宋体"/>
                <w:sz w:val="18"/>
                <w:szCs w:val="18"/>
              </w:rPr>
            </w:pPr>
            <w:r>
              <w:rPr>
                <w:rFonts w:hint="eastAsia" w:ascii="宋体" w:hAnsi="宋体"/>
                <w:sz w:val="18"/>
                <w:szCs w:val="18"/>
              </w:rPr>
              <w:t>项目</w:t>
            </w:r>
          </w:p>
        </w:tc>
        <w:tc>
          <w:tcPr>
            <w:tcW w:w="4141" w:type="dxa"/>
            <w:gridSpan w:val="4"/>
            <w:tcBorders>
              <w:left w:val="single" w:color="auto" w:sz="4" w:space="0"/>
            </w:tcBorders>
            <w:vAlign w:val="center"/>
          </w:tcPr>
          <w:p>
            <w:pPr>
              <w:jc w:val="center"/>
              <w:rPr>
                <w:rFonts w:ascii="宋体" w:hAnsi="宋体"/>
                <w:sz w:val="18"/>
                <w:szCs w:val="18"/>
              </w:rPr>
            </w:pPr>
            <w:r>
              <w:rPr>
                <w:rFonts w:hint="eastAsia" w:ascii="宋体" w:hAnsi="宋体"/>
                <w:sz w:val="18"/>
                <w:szCs w:val="18"/>
              </w:rPr>
              <w:t>质量指标</w:t>
            </w:r>
          </w:p>
        </w:tc>
        <w:tc>
          <w:tcPr>
            <w:tcW w:w="2134" w:type="dxa"/>
            <w:vMerge w:val="restart"/>
            <w:vAlign w:val="center"/>
          </w:tcPr>
          <w:p>
            <w:pPr>
              <w:jc w:val="center"/>
              <w:rPr>
                <w:rFonts w:ascii="宋体" w:hAnsi="宋体"/>
                <w:sz w:val="18"/>
                <w:szCs w:val="18"/>
              </w:rPr>
            </w:pPr>
            <w:r>
              <w:rPr>
                <w:rFonts w:hint="eastAsia" w:ascii="宋体" w:hAnsi="宋体"/>
                <w:sz w:val="18"/>
                <w:szCs w:val="18"/>
              </w:rPr>
              <w:t>试验方法</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31" w:hRule="atLeast"/>
          <w:jc w:val="center"/>
        </w:trPr>
        <w:tc>
          <w:tcPr>
            <w:tcW w:w="2235" w:type="dxa"/>
            <w:vMerge w:val="continue"/>
            <w:vAlign w:val="center"/>
          </w:tcPr>
          <w:p>
            <w:pPr>
              <w:jc w:val="center"/>
              <w:rPr>
                <w:rFonts w:ascii="宋体" w:hAnsi="宋体"/>
                <w:sz w:val="18"/>
                <w:szCs w:val="18"/>
              </w:rPr>
            </w:pPr>
          </w:p>
        </w:tc>
        <w:tc>
          <w:tcPr>
            <w:tcW w:w="1040" w:type="dxa"/>
            <w:tcBorders>
              <w:left w:val="single" w:color="auto" w:sz="4" w:space="0"/>
              <w:right w:val="single" w:color="auto" w:sz="4" w:space="0"/>
            </w:tcBorders>
            <w:vAlign w:val="center"/>
          </w:tcPr>
          <w:p>
            <w:pPr>
              <w:jc w:val="center"/>
              <w:rPr>
                <w:rFonts w:ascii="宋体" w:hAnsi="宋体" w:eastAsia="宋体"/>
                <w:sz w:val="18"/>
                <w:szCs w:val="18"/>
              </w:rPr>
            </w:pPr>
            <w:r>
              <w:rPr>
                <w:rFonts w:hint="eastAsia" w:ascii="宋体" w:hAnsi="宋体"/>
                <w:sz w:val="18"/>
                <w:szCs w:val="18"/>
              </w:rPr>
              <w:t>B20</w:t>
            </w:r>
          </w:p>
        </w:tc>
        <w:tc>
          <w:tcPr>
            <w:tcW w:w="889" w:type="dxa"/>
            <w:tcBorders>
              <w:left w:val="single" w:color="auto" w:sz="4" w:space="0"/>
              <w:right w:val="single" w:color="auto" w:sz="4" w:space="0"/>
            </w:tcBorders>
            <w:vAlign w:val="center"/>
          </w:tcPr>
          <w:p>
            <w:pPr>
              <w:jc w:val="center"/>
              <w:rPr>
                <w:rFonts w:ascii="宋体" w:hAnsi="宋体" w:eastAsia="宋体"/>
                <w:sz w:val="18"/>
                <w:szCs w:val="18"/>
              </w:rPr>
            </w:pPr>
            <w:r>
              <w:rPr>
                <w:rFonts w:hint="eastAsia" w:ascii="宋体" w:hAnsi="宋体"/>
                <w:sz w:val="18"/>
                <w:szCs w:val="18"/>
              </w:rPr>
              <w:t>B24</w:t>
            </w:r>
          </w:p>
        </w:tc>
        <w:tc>
          <w:tcPr>
            <w:tcW w:w="1081" w:type="dxa"/>
            <w:tcBorders>
              <w:left w:val="single" w:color="auto" w:sz="4" w:space="0"/>
              <w:right w:val="single" w:color="auto" w:sz="4" w:space="0"/>
            </w:tcBorders>
            <w:vAlign w:val="center"/>
          </w:tcPr>
          <w:p>
            <w:pPr>
              <w:jc w:val="center"/>
              <w:rPr>
                <w:rFonts w:ascii="宋体" w:hAnsi="宋体" w:eastAsia="宋体"/>
                <w:sz w:val="18"/>
                <w:szCs w:val="18"/>
              </w:rPr>
            </w:pPr>
            <w:r>
              <w:rPr>
                <w:rFonts w:hint="eastAsia" w:ascii="宋体" w:hAnsi="宋体"/>
                <w:sz w:val="18"/>
                <w:szCs w:val="18"/>
              </w:rPr>
              <w:t>B30</w:t>
            </w:r>
          </w:p>
        </w:tc>
        <w:tc>
          <w:tcPr>
            <w:tcW w:w="1131" w:type="dxa"/>
            <w:tcBorders>
              <w:left w:val="single" w:color="auto" w:sz="4" w:space="0"/>
            </w:tcBorders>
            <w:vAlign w:val="center"/>
          </w:tcPr>
          <w:p>
            <w:pPr>
              <w:jc w:val="center"/>
              <w:rPr>
                <w:rFonts w:ascii="宋体" w:hAnsi="宋体"/>
                <w:sz w:val="18"/>
                <w:szCs w:val="18"/>
              </w:rPr>
            </w:pPr>
            <w:r>
              <w:rPr>
                <w:rFonts w:hint="eastAsia" w:ascii="宋体" w:hAnsi="宋体"/>
                <w:sz w:val="18"/>
                <w:szCs w:val="18"/>
              </w:rPr>
              <w:t>B50</w:t>
            </w:r>
          </w:p>
        </w:tc>
        <w:tc>
          <w:tcPr>
            <w:tcW w:w="2134" w:type="dxa"/>
            <w:vMerge w:val="continue"/>
            <w:vAlign w:val="center"/>
          </w:tcPr>
          <w:p>
            <w:pPr>
              <w:jc w:val="left"/>
              <w:rPr>
                <w:rFonts w:ascii="宋体" w:hAnsi="宋体"/>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31" w:hRule="atLeast"/>
          <w:jc w:val="center"/>
        </w:trPr>
        <w:tc>
          <w:tcPr>
            <w:tcW w:w="2235" w:type="dxa"/>
            <w:vAlign w:val="center"/>
          </w:tcPr>
          <w:p>
            <w:pPr>
              <w:jc w:val="center"/>
              <w:rPr>
                <w:rFonts w:ascii="宋体" w:hAnsi="宋体"/>
                <w:sz w:val="18"/>
                <w:szCs w:val="18"/>
              </w:rPr>
            </w:pPr>
            <w:r>
              <w:rPr>
                <w:rFonts w:hint="eastAsia" w:ascii="宋体" w:hAnsi="宋体"/>
                <w:sz w:val="18"/>
                <w:szCs w:val="18"/>
              </w:rPr>
              <w:t>脂肪酸甲酯（质量分数），%</w:t>
            </w:r>
          </w:p>
          <w:p>
            <w:pPr>
              <w:jc w:val="center"/>
              <w:rPr>
                <w:rFonts w:ascii="宋体" w:hAnsi="宋体"/>
                <w:sz w:val="18"/>
                <w:szCs w:val="18"/>
              </w:rPr>
            </w:pPr>
            <w:r>
              <w:rPr>
                <w:rFonts w:hint="eastAsia" w:ascii="宋体" w:hAnsi="宋体"/>
                <w:sz w:val="18"/>
                <w:szCs w:val="18"/>
              </w:rPr>
              <w:t xml:space="preserve">               不大于</w:t>
            </w:r>
          </w:p>
          <w:p>
            <w:pPr>
              <w:jc w:val="center"/>
              <w:rPr>
                <w:rFonts w:ascii="宋体" w:hAnsi="宋体"/>
                <w:sz w:val="18"/>
                <w:szCs w:val="18"/>
              </w:rPr>
            </w:pPr>
            <w:r>
              <w:rPr>
                <w:rFonts w:hint="eastAsia" w:ascii="宋体" w:hAnsi="宋体"/>
                <w:sz w:val="18"/>
                <w:szCs w:val="18"/>
              </w:rPr>
              <w:t xml:space="preserve">              大于</w:t>
            </w:r>
          </w:p>
        </w:tc>
        <w:tc>
          <w:tcPr>
            <w:tcW w:w="1040" w:type="dxa"/>
            <w:tcBorders>
              <w:left w:val="single" w:color="auto" w:sz="4" w:space="0"/>
              <w:right w:val="single" w:color="auto" w:sz="4" w:space="0"/>
            </w:tcBorders>
            <w:vAlign w:val="center"/>
          </w:tcPr>
          <w:p>
            <w:pPr>
              <w:jc w:val="center"/>
              <w:rPr>
                <w:rFonts w:ascii="宋体" w:hAnsi="宋体"/>
                <w:sz w:val="18"/>
                <w:szCs w:val="18"/>
              </w:rPr>
            </w:pPr>
          </w:p>
          <w:p>
            <w:pPr>
              <w:jc w:val="center"/>
              <w:rPr>
                <w:rFonts w:ascii="宋体" w:hAnsi="宋体"/>
                <w:sz w:val="18"/>
                <w:szCs w:val="18"/>
              </w:rPr>
            </w:pPr>
            <w:r>
              <w:rPr>
                <w:rFonts w:hint="eastAsia" w:ascii="宋体" w:hAnsi="宋体"/>
                <w:sz w:val="18"/>
                <w:szCs w:val="18"/>
              </w:rPr>
              <w:t>20</w:t>
            </w:r>
          </w:p>
          <w:p>
            <w:pPr>
              <w:jc w:val="center"/>
              <w:rPr>
                <w:rFonts w:ascii="宋体" w:hAnsi="宋体"/>
                <w:sz w:val="18"/>
                <w:szCs w:val="18"/>
              </w:rPr>
            </w:pPr>
            <w:r>
              <w:rPr>
                <w:rFonts w:hint="eastAsia" w:ascii="宋体" w:hAnsi="宋体"/>
                <w:sz w:val="18"/>
                <w:szCs w:val="18"/>
              </w:rPr>
              <w:t>15</w:t>
            </w:r>
          </w:p>
        </w:tc>
        <w:tc>
          <w:tcPr>
            <w:tcW w:w="889" w:type="dxa"/>
            <w:tcBorders>
              <w:left w:val="single" w:color="auto" w:sz="4" w:space="0"/>
              <w:right w:val="single" w:color="auto" w:sz="4" w:space="0"/>
            </w:tcBorders>
            <w:vAlign w:val="center"/>
          </w:tcPr>
          <w:p>
            <w:pPr>
              <w:jc w:val="center"/>
              <w:rPr>
                <w:rFonts w:ascii="宋体" w:hAnsi="宋体"/>
                <w:sz w:val="18"/>
                <w:szCs w:val="18"/>
              </w:rPr>
            </w:pPr>
          </w:p>
          <w:p>
            <w:pPr>
              <w:jc w:val="center"/>
              <w:rPr>
                <w:rFonts w:ascii="宋体" w:hAnsi="宋体"/>
                <w:sz w:val="18"/>
                <w:szCs w:val="18"/>
              </w:rPr>
            </w:pPr>
            <w:r>
              <w:rPr>
                <w:rFonts w:hint="eastAsia" w:ascii="宋体" w:hAnsi="宋体"/>
                <w:sz w:val="18"/>
                <w:szCs w:val="18"/>
              </w:rPr>
              <w:t>24</w:t>
            </w:r>
          </w:p>
          <w:p>
            <w:pPr>
              <w:jc w:val="center"/>
              <w:rPr>
                <w:rFonts w:ascii="宋体" w:hAnsi="宋体"/>
                <w:sz w:val="18"/>
                <w:szCs w:val="18"/>
              </w:rPr>
            </w:pPr>
            <w:r>
              <w:rPr>
                <w:rFonts w:hint="eastAsia" w:ascii="宋体" w:hAnsi="宋体"/>
                <w:sz w:val="18"/>
                <w:szCs w:val="18"/>
              </w:rPr>
              <w:t>20</w:t>
            </w:r>
          </w:p>
        </w:tc>
        <w:tc>
          <w:tcPr>
            <w:tcW w:w="1081" w:type="dxa"/>
            <w:tcBorders>
              <w:left w:val="single" w:color="auto" w:sz="4" w:space="0"/>
              <w:right w:val="single" w:color="auto" w:sz="4" w:space="0"/>
            </w:tcBorders>
            <w:vAlign w:val="center"/>
          </w:tcPr>
          <w:p>
            <w:pPr>
              <w:jc w:val="center"/>
              <w:rPr>
                <w:rFonts w:ascii="宋体" w:hAnsi="宋体"/>
                <w:sz w:val="18"/>
                <w:szCs w:val="18"/>
              </w:rPr>
            </w:pPr>
          </w:p>
          <w:p>
            <w:pPr>
              <w:jc w:val="center"/>
              <w:rPr>
                <w:rFonts w:ascii="宋体" w:hAnsi="宋体"/>
                <w:sz w:val="18"/>
                <w:szCs w:val="18"/>
              </w:rPr>
            </w:pPr>
            <w:r>
              <w:rPr>
                <w:rFonts w:hint="eastAsia" w:ascii="宋体" w:hAnsi="宋体"/>
                <w:sz w:val="18"/>
                <w:szCs w:val="18"/>
              </w:rPr>
              <w:t>30</w:t>
            </w:r>
          </w:p>
          <w:p>
            <w:pPr>
              <w:jc w:val="center"/>
              <w:rPr>
                <w:rFonts w:ascii="宋体" w:hAnsi="宋体"/>
                <w:sz w:val="18"/>
                <w:szCs w:val="18"/>
              </w:rPr>
            </w:pPr>
            <w:r>
              <w:rPr>
                <w:rFonts w:hint="eastAsia" w:ascii="宋体" w:hAnsi="宋体"/>
                <w:sz w:val="18"/>
                <w:szCs w:val="18"/>
              </w:rPr>
              <w:t>24</w:t>
            </w:r>
          </w:p>
        </w:tc>
        <w:tc>
          <w:tcPr>
            <w:tcW w:w="1131" w:type="dxa"/>
            <w:tcBorders>
              <w:left w:val="single" w:color="auto" w:sz="4" w:space="0"/>
            </w:tcBorders>
            <w:vAlign w:val="center"/>
          </w:tcPr>
          <w:p>
            <w:pPr>
              <w:jc w:val="center"/>
              <w:rPr>
                <w:rFonts w:ascii="宋体" w:hAnsi="宋体"/>
                <w:sz w:val="18"/>
                <w:szCs w:val="18"/>
              </w:rPr>
            </w:pPr>
          </w:p>
          <w:p>
            <w:pPr>
              <w:jc w:val="center"/>
              <w:rPr>
                <w:rFonts w:ascii="宋体" w:hAnsi="宋体"/>
                <w:sz w:val="18"/>
                <w:szCs w:val="18"/>
              </w:rPr>
            </w:pPr>
            <w:r>
              <w:rPr>
                <w:rFonts w:hint="eastAsia" w:ascii="宋体" w:hAnsi="宋体"/>
                <w:sz w:val="18"/>
                <w:szCs w:val="18"/>
              </w:rPr>
              <w:t>50</w:t>
            </w:r>
          </w:p>
          <w:p>
            <w:pPr>
              <w:jc w:val="center"/>
              <w:rPr>
                <w:rFonts w:ascii="宋体" w:hAnsi="宋体"/>
                <w:sz w:val="18"/>
                <w:szCs w:val="18"/>
              </w:rPr>
            </w:pPr>
            <w:r>
              <w:rPr>
                <w:rFonts w:hint="eastAsia" w:ascii="宋体" w:hAnsi="宋体"/>
                <w:sz w:val="18"/>
                <w:szCs w:val="18"/>
              </w:rPr>
              <w:t>40</w:t>
            </w:r>
          </w:p>
        </w:tc>
        <w:tc>
          <w:tcPr>
            <w:tcW w:w="2134" w:type="dxa"/>
            <w:vAlign w:val="center"/>
          </w:tcPr>
          <w:p>
            <w:pPr>
              <w:jc w:val="left"/>
              <w:rPr>
                <w:rFonts w:ascii="宋体" w:hAnsi="宋体"/>
                <w:sz w:val="18"/>
                <w:szCs w:val="18"/>
              </w:rPr>
            </w:pPr>
            <w:r>
              <w:rPr>
                <w:rFonts w:hint="eastAsia" w:ascii="宋体" w:hAnsi="宋体"/>
                <w:sz w:val="18"/>
                <w:szCs w:val="18"/>
              </w:rPr>
              <w:t>附录A</w:t>
            </w:r>
          </w:p>
          <w:p>
            <w:pPr>
              <w:jc w:val="left"/>
              <w:rPr>
                <w:rFonts w:ascii="宋体" w:hAnsi="宋体"/>
                <w:sz w:val="18"/>
                <w:szCs w:val="18"/>
              </w:rPr>
            </w:pPr>
            <w:r>
              <w:rPr>
                <w:rFonts w:hint="eastAsia" w:ascii="宋体" w:hAnsi="宋体"/>
                <w:sz w:val="18"/>
                <w:szCs w:val="18"/>
              </w:rPr>
              <w:t>NB/SH/T 0916</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31" w:hRule="atLeast"/>
          <w:jc w:val="center"/>
        </w:trPr>
        <w:tc>
          <w:tcPr>
            <w:tcW w:w="2235" w:type="dxa"/>
            <w:vAlign w:val="center"/>
          </w:tcPr>
          <w:p>
            <w:pPr>
              <w:jc w:val="center"/>
              <w:rPr>
                <w:rFonts w:ascii="宋体" w:hAnsi="宋体"/>
                <w:sz w:val="18"/>
                <w:szCs w:val="18"/>
              </w:rPr>
            </w:pPr>
            <w:r>
              <w:rPr>
                <w:rFonts w:hint="eastAsia" w:ascii="宋体" w:hAnsi="宋体"/>
                <w:sz w:val="18"/>
                <w:szCs w:val="18"/>
              </w:rPr>
              <w:t>运动粘度（5</w:t>
            </w:r>
            <w:r>
              <w:rPr>
                <w:rFonts w:ascii="宋体" w:hAnsi="宋体"/>
                <w:sz w:val="18"/>
                <w:szCs w:val="18"/>
              </w:rPr>
              <w:t>0</w:t>
            </w:r>
            <w:r>
              <w:rPr>
                <w:rFonts w:hint="eastAsia" w:ascii="宋体" w:hAnsi="宋体"/>
                <w:sz w:val="18"/>
                <w:szCs w:val="18"/>
              </w:rPr>
              <w:t>℃），mm</w:t>
            </w:r>
            <w:r>
              <w:rPr>
                <w:rFonts w:ascii="宋体" w:hAnsi="宋体"/>
                <w:sz w:val="18"/>
                <w:szCs w:val="18"/>
                <w:vertAlign w:val="superscript"/>
              </w:rPr>
              <w:t>2</w:t>
            </w:r>
            <w:r>
              <w:rPr>
                <w:rFonts w:ascii="宋体" w:hAnsi="宋体"/>
                <w:sz w:val="18"/>
                <w:szCs w:val="18"/>
              </w:rPr>
              <w:t>/</w:t>
            </w:r>
            <w:r>
              <w:rPr>
                <w:rFonts w:hint="eastAsia" w:ascii="宋体" w:hAnsi="宋体"/>
                <w:sz w:val="18"/>
                <w:szCs w:val="18"/>
              </w:rPr>
              <w:t>s</w:t>
            </w:r>
          </w:p>
          <w:p>
            <w:pPr>
              <w:jc w:val="center"/>
              <w:rPr>
                <w:rFonts w:ascii="宋体" w:hAnsi="宋体"/>
                <w:sz w:val="18"/>
                <w:szCs w:val="18"/>
              </w:rPr>
            </w:pPr>
            <w:r>
              <w:rPr>
                <w:rFonts w:hint="eastAsia" w:ascii="宋体" w:hAnsi="宋体"/>
                <w:sz w:val="18"/>
                <w:szCs w:val="18"/>
              </w:rPr>
              <w:t xml:space="preserve">               不小于</w:t>
            </w:r>
          </w:p>
        </w:tc>
        <w:tc>
          <w:tcPr>
            <w:tcW w:w="4141" w:type="dxa"/>
            <w:gridSpan w:val="4"/>
            <w:tcBorders>
              <w:left w:val="single" w:color="auto" w:sz="4" w:space="0"/>
            </w:tcBorders>
            <w:vAlign w:val="center"/>
          </w:tcPr>
          <w:p>
            <w:pPr>
              <w:jc w:val="center"/>
              <w:rPr>
                <w:rFonts w:ascii="宋体" w:hAnsi="宋体"/>
                <w:sz w:val="18"/>
                <w:szCs w:val="18"/>
              </w:rPr>
            </w:pPr>
          </w:p>
          <w:p>
            <w:pPr>
              <w:jc w:val="center"/>
              <w:rPr>
                <w:rFonts w:ascii="宋体" w:hAnsi="宋体"/>
                <w:sz w:val="18"/>
                <w:szCs w:val="18"/>
              </w:rPr>
            </w:pPr>
            <w:r>
              <w:rPr>
                <w:rFonts w:hint="eastAsia" w:ascii="宋体" w:hAnsi="宋体"/>
                <w:sz w:val="18"/>
                <w:szCs w:val="18"/>
              </w:rPr>
              <w:t>20</w:t>
            </w:r>
          </w:p>
        </w:tc>
        <w:tc>
          <w:tcPr>
            <w:tcW w:w="2134" w:type="dxa"/>
            <w:vAlign w:val="center"/>
          </w:tcPr>
          <w:p>
            <w:pPr>
              <w:jc w:val="left"/>
              <w:rPr>
                <w:rFonts w:ascii="宋体" w:hAnsi="宋体" w:eastAsia="宋体"/>
                <w:sz w:val="18"/>
                <w:szCs w:val="18"/>
              </w:rPr>
            </w:pPr>
            <w:r>
              <w:rPr>
                <w:rFonts w:hint="eastAsia" w:ascii="宋体" w:hAnsi="宋体"/>
                <w:sz w:val="18"/>
                <w:szCs w:val="18"/>
              </w:rPr>
              <w:t>GB/T 30515</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90" w:hRule="atLeast"/>
          <w:jc w:val="center"/>
        </w:trPr>
        <w:tc>
          <w:tcPr>
            <w:tcW w:w="2235" w:type="dxa"/>
            <w:vAlign w:val="center"/>
          </w:tcPr>
          <w:p>
            <w:pPr>
              <w:jc w:val="center"/>
              <w:rPr>
                <w:rFonts w:ascii="宋体" w:hAnsi="宋体"/>
                <w:sz w:val="18"/>
                <w:szCs w:val="18"/>
                <w:vertAlign w:val="superscript"/>
              </w:rPr>
            </w:pPr>
            <w:r>
              <w:rPr>
                <w:rFonts w:hint="eastAsia" w:ascii="宋体" w:hAnsi="宋体"/>
                <w:sz w:val="18"/>
                <w:szCs w:val="18"/>
              </w:rPr>
              <w:t>密度（2</w:t>
            </w:r>
            <w:r>
              <w:rPr>
                <w:rFonts w:ascii="宋体" w:hAnsi="宋体"/>
                <w:sz w:val="18"/>
                <w:szCs w:val="18"/>
              </w:rPr>
              <w:t>0</w:t>
            </w:r>
            <w:r>
              <w:rPr>
                <w:rFonts w:hint="eastAsia" w:ascii="宋体" w:hAnsi="宋体"/>
                <w:sz w:val="18"/>
                <w:szCs w:val="18"/>
              </w:rPr>
              <w:t>℃），kg</w:t>
            </w:r>
            <w:r>
              <w:rPr>
                <w:rFonts w:ascii="宋体" w:hAnsi="宋体"/>
                <w:sz w:val="18"/>
                <w:szCs w:val="18"/>
              </w:rPr>
              <w:t>/</w:t>
            </w:r>
            <w:r>
              <w:rPr>
                <w:rFonts w:hint="eastAsia" w:ascii="宋体" w:hAnsi="宋体"/>
                <w:sz w:val="18"/>
                <w:szCs w:val="18"/>
              </w:rPr>
              <w:t>m</w:t>
            </w:r>
            <w:r>
              <w:rPr>
                <w:rFonts w:ascii="宋体" w:hAnsi="宋体"/>
                <w:sz w:val="18"/>
                <w:szCs w:val="18"/>
                <w:vertAlign w:val="superscript"/>
              </w:rPr>
              <w:t>3</w:t>
            </w:r>
          </w:p>
          <w:p>
            <w:pPr>
              <w:jc w:val="center"/>
              <w:rPr>
                <w:rFonts w:ascii="宋体" w:hAnsi="宋体"/>
                <w:sz w:val="18"/>
                <w:szCs w:val="18"/>
              </w:rPr>
            </w:pPr>
            <w:r>
              <w:rPr>
                <w:rFonts w:hint="eastAsia" w:ascii="宋体" w:hAnsi="宋体"/>
                <w:sz w:val="18"/>
                <w:szCs w:val="18"/>
              </w:rPr>
              <w:t xml:space="preserve">             不大于</w:t>
            </w:r>
          </w:p>
          <w:p>
            <w:pPr>
              <w:jc w:val="center"/>
              <w:rPr>
                <w:rFonts w:ascii="宋体" w:hAnsi="宋体"/>
                <w:sz w:val="18"/>
                <w:szCs w:val="18"/>
              </w:rPr>
            </w:pPr>
            <w:r>
              <w:rPr>
                <w:rFonts w:hint="eastAsia" w:ascii="宋体" w:hAnsi="宋体"/>
                <w:sz w:val="18"/>
                <w:szCs w:val="18"/>
              </w:rPr>
              <w:t xml:space="preserve">             不小于</w:t>
            </w:r>
          </w:p>
        </w:tc>
        <w:tc>
          <w:tcPr>
            <w:tcW w:w="4141" w:type="dxa"/>
            <w:gridSpan w:val="4"/>
            <w:tcBorders>
              <w:left w:val="single" w:color="auto" w:sz="4" w:space="0"/>
            </w:tcBorders>
            <w:vAlign w:val="center"/>
          </w:tcPr>
          <w:p>
            <w:pPr>
              <w:jc w:val="center"/>
              <w:rPr>
                <w:rFonts w:ascii="宋体" w:hAnsi="宋体"/>
                <w:sz w:val="18"/>
                <w:szCs w:val="18"/>
              </w:rPr>
            </w:pPr>
          </w:p>
          <w:p>
            <w:pPr>
              <w:jc w:val="center"/>
              <w:rPr>
                <w:rFonts w:ascii="宋体" w:hAnsi="宋体"/>
                <w:sz w:val="18"/>
                <w:szCs w:val="18"/>
              </w:rPr>
            </w:pPr>
            <w:r>
              <w:rPr>
                <w:rFonts w:hint="eastAsia" w:ascii="宋体" w:hAnsi="宋体"/>
                <w:sz w:val="18"/>
                <w:szCs w:val="18"/>
              </w:rPr>
              <w:t>990.0</w:t>
            </w:r>
          </w:p>
          <w:p>
            <w:pPr>
              <w:jc w:val="center"/>
              <w:rPr>
                <w:rFonts w:ascii="宋体" w:hAnsi="宋体"/>
                <w:sz w:val="18"/>
                <w:szCs w:val="18"/>
              </w:rPr>
            </w:pPr>
            <w:r>
              <w:rPr>
                <w:rFonts w:hint="eastAsia" w:ascii="宋体" w:hAnsi="宋体"/>
                <w:sz w:val="18"/>
                <w:szCs w:val="18"/>
              </w:rPr>
              <w:t>888.0</w:t>
            </w:r>
          </w:p>
        </w:tc>
        <w:tc>
          <w:tcPr>
            <w:tcW w:w="2134" w:type="dxa"/>
            <w:vAlign w:val="center"/>
          </w:tcPr>
          <w:p>
            <w:pPr>
              <w:jc w:val="left"/>
              <w:rPr>
                <w:rFonts w:ascii="宋体" w:hAnsi="宋体"/>
                <w:sz w:val="18"/>
                <w:szCs w:val="18"/>
              </w:rPr>
            </w:pPr>
            <w:r>
              <w:rPr>
                <w:rFonts w:hint="eastAsia" w:ascii="宋体" w:hAnsi="宋体"/>
                <w:sz w:val="18"/>
                <w:szCs w:val="18"/>
              </w:rPr>
              <w:t>S</w:t>
            </w:r>
            <w:r>
              <w:rPr>
                <w:rFonts w:ascii="宋体" w:hAnsi="宋体"/>
                <w:sz w:val="18"/>
                <w:szCs w:val="18"/>
              </w:rPr>
              <w:t>H/T 0604</w:t>
            </w:r>
          </w:p>
          <w:p>
            <w:pPr>
              <w:jc w:val="left"/>
              <w:rPr>
                <w:rFonts w:ascii="宋体" w:hAnsi="宋体" w:eastAsia="宋体"/>
                <w:sz w:val="18"/>
                <w:szCs w:val="18"/>
              </w:rPr>
            </w:pPr>
            <w:r>
              <w:rPr>
                <w:rFonts w:hint="eastAsia" w:ascii="宋体" w:hAnsi="宋体"/>
                <w:sz w:val="18"/>
                <w:szCs w:val="18"/>
              </w:rPr>
              <w:t>GB/T 1884和GB/T 1885</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31" w:hRule="atLeast"/>
          <w:jc w:val="center"/>
        </w:trPr>
        <w:tc>
          <w:tcPr>
            <w:tcW w:w="2235" w:type="dxa"/>
            <w:vAlign w:val="center"/>
          </w:tcPr>
          <w:p>
            <w:pPr>
              <w:jc w:val="center"/>
              <w:rPr>
                <w:rFonts w:ascii="宋体" w:hAnsi="宋体"/>
                <w:sz w:val="18"/>
                <w:szCs w:val="18"/>
              </w:rPr>
            </w:pPr>
            <w:r>
              <w:rPr>
                <w:rFonts w:hint="eastAsia" w:ascii="宋体" w:hAnsi="宋体"/>
                <w:sz w:val="18"/>
                <w:szCs w:val="18"/>
              </w:rPr>
              <w:t>硫含量（质量分数），%</w:t>
            </w:r>
          </w:p>
          <w:p>
            <w:pPr>
              <w:jc w:val="center"/>
              <w:rPr>
                <w:rFonts w:ascii="宋体" w:hAnsi="宋体"/>
                <w:sz w:val="18"/>
                <w:szCs w:val="18"/>
              </w:rPr>
            </w:pPr>
            <w:r>
              <w:rPr>
                <w:rFonts w:hint="eastAsia" w:ascii="宋体" w:hAnsi="宋体"/>
                <w:sz w:val="18"/>
                <w:szCs w:val="18"/>
              </w:rPr>
              <w:t xml:space="preserve">              不大于</w:t>
            </w:r>
          </w:p>
          <w:p>
            <w:pPr>
              <w:jc w:val="center"/>
              <w:rPr>
                <w:rFonts w:ascii="宋体" w:hAnsi="宋体"/>
                <w:sz w:val="18"/>
                <w:szCs w:val="18"/>
              </w:rPr>
            </w:pPr>
            <w:r>
              <w:rPr>
                <w:rFonts w:hint="eastAsia" w:ascii="宋体" w:hAnsi="宋体"/>
                <w:sz w:val="18"/>
                <w:szCs w:val="18"/>
              </w:rPr>
              <w:t>Ⅰ</w:t>
            </w:r>
          </w:p>
          <w:p>
            <w:pPr>
              <w:jc w:val="center"/>
              <w:rPr>
                <w:rFonts w:ascii="宋体" w:hAnsi="宋体"/>
                <w:sz w:val="18"/>
                <w:szCs w:val="18"/>
              </w:rPr>
            </w:pPr>
            <w:r>
              <w:rPr>
                <w:rFonts w:hint="eastAsia" w:ascii="宋体" w:hAnsi="宋体"/>
                <w:sz w:val="18"/>
                <w:szCs w:val="18"/>
              </w:rPr>
              <w:t>Ⅱ</w:t>
            </w:r>
          </w:p>
        </w:tc>
        <w:tc>
          <w:tcPr>
            <w:tcW w:w="4141" w:type="dxa"/>
            <w:gridSpan w:val="4"/>
            <w:tcBorders>
              <w:left w:val="single" w:color="auto" w:sz="4" w:space="0"/>
            </w:tcBorders>
            <w:vAlign w:val="center"/>
          </w:tcPr>
          <w:p>
            <w:pPr>
              <w:jc w:val="center"/>
              <w:rPr>
                <w:rFonts w:ascii="宋体" w:hAnsi="宋体"/>
                <w:sz w:val="18"/>
                <w:szCs w:val="18"/>
              </w:rPr>
            </w:pPr>
          </w:p>
          <w:p>
            <w:pPr>
              <w:jc w:val="center"/>
              <w:rPr>
                <w:rFonts w:ascii="宋体" w:hAnsi="宋体"/>
                <w:sz w:val="18"/>
                <w:szCs w:val="18"/>
              </w:rPr>
            </w:pPr>
          </w:p>
          <w:p>
            <w:pPr>
              <w:jc w:val="center"/>
              <w:rPr>
                <w:rFonts w:ascii="宋体" w:hAnsi="宋体"/>
                <w:sz w:val="18"/>
                <w:szCs w:val="18"/>
              </w:rPr>
            </w:pPr>
            <w:r>
              <w:rPr>
                <w:rFonts w:hint="eastAsia" w:ascii="宋体" w:hAnsi="宋体"/>
                <w:sz w:val="18"/>
                <w:szCs w:val="18"/>
              </w:rPr>
              <w:t>0.50</w:t>
            </w:r>
          </w:p>
          <w:p>
            <w:pPr>
              <w:jc w:val="center"/>
              <w:rPr>
                <w:rFonts w:ascii="宋体" w:hAnsi="宋体"/>
                <w:sz w:val="18"/>
                <w:szCs w:val="18"/>
              </w:rPr>
            </w:pPr>
            <w:r>
              <w:rPr>
                <w:rFonts w:hint="eastAsia" w:ascii="宋体" w:hAnsi="宋体"/>
                <w:sz w:val="18"/>
                <w:szCs w:val="18"/>
              </w:rPr>
              <w:t>0.10</w:t>
            </w:r>
          </w:p>
        </w:tc>
        <w:tc>
          <w:tcPr>
            <w:tcW w:w="2134" w:type="dxa"/>
            <w:vAlign w:val="center"/>
          </w:tcPr>
          <w:p>
            <w:pPr>
              <w:jc w:val="left"/>
              <w:rPr>
                <w:rFonts w:ascii="宋体" w:hAnsi="宋体"/>
                <w:sz w:val="18"/>
                <w:szCs w:val="18"/>
              </w:rPr>
            </w:pPr>
            <w:r>
              <w:rPr>
                <w:rFonts w:hint="eastAsia" w:ascii="宋体" w:hAnsi="宋体"/>
                <w:sz w:val="18"/>
                <w:szCs w:val="18"/>
              </w:rPr>
              <w:t>G</w:t>
            </w:r>
            <w:r>
              <w:rPr>
                <w:rFonts w:ascii="宋体" w:hAnsi="宋体"/>
                <w:sz w:val="18"/>
                <w:szCs w:val="18"/>
              </w:rPr>
              <w:t>B/T 17040</w:t>
            </w:r>
          </w:p>
          <w:p>
            <w:pPr>
              <w:jc w:val="left"/>
              <w:rPr>
                <w:rFonts w:ascii="宋体" w:hAnsi="宋体" w:eastAsia="宋体"/>
                <w:sz w:val="18"/>
                <w:szCs w:val="18"/>
              </w:rPr>
            </w:pPr>
            <w:r>
              <w:rPr>
                <w:rFonts w:hint="eastAsia" w:ascii="宋体" w:hAnsi="宋体"/>
                <w:sz w:val="18"/>
                <w:szCs w:val="18"/>
              </w:rPr>
              <w:t>GB/T 11140</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31" w:hRule="atLeast"/>
          <w:jc w:val="center"/>
        </w:trPr>
        <w:tc>
          <w:tcPr>
            <w:tcW w:w="2235" w:type="dxa"/>
            <w:vAlign w:val="center"/>
          </w:tcPr>
          <w:p>
            <w:pPr>
              <w:jc w:val="center"/>
              <w:rPr>
                <w:rFonts w:ascii="宋体" w:hAnsi="宋体"/>
                <w:sz w:val="18"/>
                <w:szCs w:val="18"/>
              </w:rPr>
            </w:pPr>
            <w:r>
              <w:rPr>
                <w:rFonts w:hint="eastAsia" w:ascii="宋体" w:hAnsi="宋体"/>
                <w:sz w:val="18"/>
                <w:szCs w:val="18"/>
              </w:rPr>
              <w:t>闪点（闭口），℃</w:t>
            </w:r>
          </w:p>
          <w:p>
            <w:pPr>
              <w:jc w:val="center"/>
              <w:rPr>
                <w:rFonts w:ascii="宋体" w:hAnsi="宋体" w:eastAsia="宋体"/>
                <w:sz w:val="18"/>
                <w:szCs w:val="18"/>
              </w:rPr>
            </w:pPr>
            <w:r>
              <w:rPr>
                <w:rFonts w:hint="eastAsia" w:ascii="宋体" w:hAnsi="宋体"/>
                <w:sz w:val="18"/>
                <w:szCs w:val="18"/>
              </w:rPr>
              <w:t xml:space="preserve">              不小于</w:t>
            </w:r>
          </w:p>
        </w:tc>
        <w:tc>
          <w:tcPr>
            <w:tcW w:w="4141" w:type="dxa"/>
            <w:gridSpan w:val="4"/>
            <w:tcBorders>
              <w:left w:val="single" w:color="auto" w:sz="4" w:space="0"/>
            </w:tcBorders>
            <w:vAlign w:val="center"/>
          </w:tcPr>
          <w:p>
            <w:pPr>
              <w:jc w:val="center"/>
              <w:rPr>
                <w:rFonts w:ascii="宋体" w:hAnsi="宋体"/>
                <w:sz w:val="18"/>
                <w:szCs w:val="18"/>
              </w:rPr>
            </w:pPr>
          </w:p>
          <w:p>
            <w:pPr>
              <w:jc w:val="center"/>
              <w:rPr>
                <w:rFonts w:ascii="宋体" w:hAnsi="宋体" w:eastAsia="宋体"/>
                <w:sz w:val="18"/>
                <w:szCs w:val="18"/>
              </w:rPr>
            </w:pPr>
            <w:r>
              <w:rPr>
                <w:rFonts w:hint="eastAsia" w:ascii="宋体" w:hAnsi="宋体"/>
                <w:sz w:val="18"/>
                <w:szCs w:val="18"/>
              </w:rPr>
              <w:t>60.0</w:t>
            </w:r>
          </w:p>
        </w:tc>
        <w:tc>
          <w:tcPr>
            <w:tcW w:w="2134" w:type="dxa"/>
            <w:vAlign w:val="center"/>
          </w:tcPr>
          <w:p>
            <w:pPr>
              <w:jc w:val="left"/>
              <w:rPr>
                <w:rFonts w:ascii="宋体" w:hAnsi="宋体"/>
                <w:sz w:val="18"/>
                <w:szCs w:val="18"/>
              </w:rPr>
            </w:pPr>
            <w:r>
              <w:rPr>
                <w:rFonts w:hint="eastAsia" w:ascii="宋体" w:hAnsi="宋体"/>
                <w:sz w:val="18"/>
                <w:szCs w:val="18"/>
              </w:rPr>
              <w:t>G</w:t>
            </w:r>
            <w:r>
              <w:rPr>
                <w:rFonts w:ascii="宋体" w:hAnsi="宋体"/>
                <w:sz w:val="18"/>
                <w:szCs w:val="18"/>
              </w:rPr>
              <w:t>B/T 261</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31" w:hRule="atLeast"/>
          <w:jc w:val="center"/>
        </w:trPr>
        <w:tc>
          <w:tcPr>
            <w:tcW w:w="2235" w:type="dxa"/>
            <w:vAlign w:val="center"/>
          </w:tcPr>
          <w:p>
            <w:pPr>
              <w:jc w:val="center"/>
              <w:rPr>
                <w:rFonts w:ascii="宋体" w:hAnsi="宋体"/>
                <w:sz w:val="18"/>
                <w:szCs w:val="18"/>
              </w:rPr>
            </w:pPr>
            <w:r>
              <w:rPr>
                <w:rFonts w:hint="eastAsia" w:ascii="宋体" w:hAnsi="宋体"/>
                <w:sz w:val="18"/>
                <w:szCs w:val="18"/>
              </w:rPr>
              <w:t>硫化氢，mg/kg</w:t>
            </w:r>
          </w:p>
          <w:p>
            <w:pPr>
              <w:jc w:val="center"/>
              <w:rPr>
                <w:rFonts w:ascii="宋体" w:hAnsi="宋体"/>
                <w:sz w:val="18"/>
                <w:szCs w:val="18"/>
              </w:rPr>
            </w:pPr>
            <w:r>
              <w:rPr>
                <w:rFonts w:hint="eastAsia" w:ascii="宋体" w:hAnsi="宋体"/>
                <w:sz w:val="18"/>
                <w:szCs w:val="18"/>
              </w:rPr>
              <w:t xml:space="preserve">             不大于</w:t>
            </w:r>
          </w:p>
        </w:tc>
        <w:tc>
          <w:tcPr>
            <w:tcW w:w="4141" w:type="dxa"/>
            <w:gridSpan w:val="4"/>
            <w:tcBorders>
              <w:left w:val="single" w:color="auto" w:sz="4" w:space="0"/>
            </w:tcBorders>
            <w:vAlign w:val="center"/>
          </w:tcPr>
          <w:p>
            <w:pPr>
              <w:jc w:val="center"/>
              <w:rPr>
                <w:rFonts w:ascii="宋体" w:hAnsi="宋体"/>
                <w:sz w:val="18"/>
                <w:szCs w:val="18"/>
              </w:rPr>
            </w:pPr>
          </w:p>
          <w:p>
            <w:pPr>
              <w:jc w:val="center"/>
              <w:rPr>
                <w:rFonts w:ascii="宋体" w:hAnsi="宋体" w:eastAsia="宋体"/>
                <w:sz w:val="18"/>
                <w:szCs w:val="18"/>
              </w:rPr>
            </w:pPr>
            <w:r>
              <w:rPr>
                <w:rFonts w:hint="eastAsia" w:ascii="宋体" w:hAnsi="宋体"/>
                <w:sz w:val="18"/>
                <w:szCs w:val="18"/>
              </w:rPr>
              <w:t>2.00</w:t>
            </w:r>
          </w:p>
        </w:tc>
        <w:tc>
          <w:tcPr>
            <w:tcW w:w="2134" w:type="dxa"/>
            <w:vAlign w:val="center"/>
          </w:tcPr>
          <w:p>
            <w:pPr>
              <w:jc w:val="left"/>
              <w:rPr>
                <w:rFonts w:ascii="宋体" w:hAnsi="宋体" w:eastAsia="宋体"/>
                <w:sz w:val="18"/>
                <w:szCs w:val="18"/>
              </w:rPr>
            </w:pPr>
            <w:r>
              <w:rPr>
                <w:rFonts w:ascii="宋体" w:hAnsi="宋体" w:eastAsia="宋体"/>
                <w:sz w:val="18"/>
                <w:szCs w:val="18"/>
              </w:rPr>
              <w:t>GB/T 34101</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31" w:hRule="atLeast"/>
          <w:jc w:val="center"/>
        </w:trPr>
        <w:tc>
          <w:tcPr>
            <w:tcW w:w="2235" w:type="dxa"/>
            <w:vAlign w:val="center"/>
          </w:tcPr>
          <w:p>
            <w:pPr>
              <w:jc w:val="center"/>
              <w:rPr>
                <w:rFonts w:ascii="宋体" w:hAnsi="宋体"/>
                <w:sz w:val="18"/>
                <w:szCs w:val="18"/>
              </w:rPr>
            </w:pPr>
            <w:r>
              <w:rPr>
                <w:rFonts w:hint="eastAsia" w:ascii="宋体" w:hAnsi="宋体"/>
                <w:sz w:val="18"/>
                <w:szCs w:val="18"/>
              </w:rPr>
              <w:t>酸值，mg</w:t>
            </w:r>
            <w:r>
              <w:rPr>
                <w:rFonts w:ascii="宋体" w:hAnsi="宋体"/>
                <w:sz w:val="18"/>
                <w:szCs w:val="18"/>
              </w:rPr>
              <w:t>KOH/</w:t>
            </w:r>
            <w:r>
              <w:rPr>
                <w:rFonts w:hint="eastAsia" w:ascii="宋体" w:hAnsi="宋体"/>
                <w:sz w:val="18"/>
                <w:szCs w:val="18"/>
              </w:rPr>
              <w:t>g</w:t>
            </w:r>
          </w:p>
          <w:p>
            <w:pPr>
              <w:jc w:val="center"/>
              <w:rPr>
                <w:rFonts w:ascii="宋体" w:hAnsi="宋体" w:eastAsia="宋体"/>
                <w:sz w:val="18"/>
                <w:szCs w:val="18"/>
              </w:rPr>
            </w:pPr>
            <w:r>
              <w:rPr>
                <w:rFonts w:hint="eastAsia" w:ascii="宋体" w:hAnsi="宋体"/>
                <w:sz w:val="18"/>
                <w:szCs w:val="18"/>
              </w:rPr>
              <w:t xml:space="preserve">            不大于</w:t>
            </w:r>
          </w:p>
        </w:tc>
        <w:tc>
          <w:tcPr>
            <w:tcW w:w="4141" w:type="dxa"/>
            <w:gridSpan w:val="4"/>
            <w:tcBorders>
              <w:left w:val="single" w:color="auto" w:sz="4" w:space="0"/>
            </w:tcBorders>
            <w:vAlign w:val="center"/>
          </w:tcPr>
          <w:p>
            <w:pPr>
              <w:jc w:val="center"/>
              <w:rPr>
                <w:rFonts w:ascii="宋体" w:hAnsi="宋体"/>
                <w:sz w:val="18"/>
                <w:szCs w:val="18"/>
              </w:rPr>
            </w:pPr>
          </w:p>
          <w:p>
            <w:pPr>
              <w:jc w:val="center"/>
              <w:rPr>
                <w:rFonts w:ascii="宋体" w:hAnsi="宋体" w:eastAsia="宋体"/>
                <w:sz w:val="18"/>
                <w:szCs w:val="18"/>
              </w:rPr>
            </w:pPr>
            <w:r>
              <w:rPr>
                <w:rFonts w:hint="eastAsia" w:ascii="宋体" w:hAnsi="宋体"/>
                <w:sz w:val="18"/>
                <w:szCs w:val="18"/>
              </w:rPr>
              <w:t>2.2</w:t>
            </w:r>
          </w:p>
        </w:tc>
        <w:tc>
          <w:tcPr>
            <w:tcW w:w="2134" w:type="dxa"/>
            <w:vAlign w:val="center"/>
          </w:tcPr>
          <w:p>
            <w:pPr>
              <w:jc w:val="left"/>
              <w:rPr>
                <w:rFonts w:ascii="宋体" w:hAnsi="宋体"/>
                <w:sz w:val="18"/>
                <w:szCs w:val="18"/>
              </w:rPr>
            </w:pPr>
            <w:r>
              <w:rPr>
                <w:rFonts w:hint="eastAsia" w:ascii="宋体" w:hAnsi="宋体"/>
                <w:sz w:val="18"/>
                <w:szCs w:val="18"/>
              </w:rPr>
              <w:t>G</w:t>
            </w:r>
            <w:r>
              <w:rPr>
                <w:rFonts w:ascii="宋体" w:hAnsi="宋体"/>
                <w:sz w:val="18"/>
                <w:szCs w:val="18"/>
              </w:rPr>
              <w:t>B/T 7304</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31" w:hRule="atLeast"/>
          <w:jc w:val="center"/>
        </w:trPr>
        <w:tc>
          <w:tcPr>
            <w:tcW w:w="2235" w:type="dxa"/>
            <w:vAlign w:val="center"/>
          </w:tcPr>
          <w:p>
            <w:pPr>
              <w:jc w:val="center"/>
              <w:rPr>
                <w:rFonts w:ascii="宋体" w:hAnsi="宋体"/>
                <w:sz w:val="18"/>
                <w:szCs w:val="18"/>
              </w:rPr>
            </w:pPr>
            <w:r>
              <w:rPr>
                <w:rFonts w:hint="eastAsia" w:ascii="宋体" w:hAnsi="宋体"/>
                <w:sz w:val="18"/>
                <w:szCs w:val="18"/>
              </w:rPr>
              <w:t>总沉淀物（质量分数），%</w:t>
            </w:r>
          </w:p>
          <w:p>
            <w:pPr>
              <w:jc w:val="center"/>
              <w:rPr>
                <w:rFonts w:ascii="宋体" w:hAnsi="宋体"/>
                <w:sz w:val="18"/>
                <w:szCs w:val="18"/>
              </w:rPr>
            </w:pPr>
            <w:r>
              <w:rPr>
                <w:rFonts w:hint="eastAsia" w:ascii="宋体" w:hAnsi="宋体"/>
                <w:sz w:val="18"/>
                <w:szCs w:val="18"/>
              </w:rPr>
              <w:t xml:space="preserve">            不大于</w:t>
            </w:r>
          </w:p>
        </w:tc>
        <w:tc>
          <w:tcPr>
            <w:tcW w:w="4141" w:type="dxa"/>
            <w:gridSpan w:val="4"/>
            <w:tcBorders>
              <w:left w:val="single" w:color="auto" w:sz="4" w:space="0"/>
            </w:tcBorders>
            <w:vAlign w:val="center"/>
          </w:tcPr>
          <w:p>
            <w:pPr>
              <w:jc w:val="center"/>
              <w:rPr>
                <w:rFonts w:ascii="宋体" w:hAnsi="宋体"/>
                <w:sz w:val="18"/>
                <w:szCs w:val="18"/>
              </w:rPr>
            </w:pPr>
          </w:p>
          <w:p>
            <w:pPr>
              <w:jc w:val="center"/>
              <w:rPr>
                <w:rFonts w:ascii="宋体" w:hAnsi="宋体" w:eastAsia="宋体"/>
                <w:sz w:val="18"/>
                <w:szCs w:val="18"/>
              </w:rPr>
            </w:pPr>
            <w:r>
              <w:rPr>
                <w:rFonts w:hint="eastAsia" w:ascii="宋体" w:hAnsi="宋体"/>
                <w:sz w:val="18"/>
                <w:szCs w:val="18"/>
              </w:rPr>
              <w:t>0.08</w:t>
            </w:r>
          </w:p>
        </w:tc>
        <w:tc>
          <w:tcPr>
            <w:tcW w:w="2134" w:type="dxa"/>
            <w:vAlign w:val="center"/>
          </w:tcPr>
          <w:p>
            <w:pPr>
              <w:jc w:val="left"/>
              <w:rPr>
                <w:rFonts w:ascii="宋体" w:hAnsi="宋体" w:eastAsia="宋体"/>
                <w:sz w:val="18"/>
                <w:szCs w:val="18"/>
              </w:rPr>
            </w:pPr>
            <w:r>
              <w:rPr>
                <w:rFonts w:hint="eastAsia" w:ascii="宋体" w:hAnsi="宋体"/>
                <w:sz w:val="18"/>
                <w:szCs w:val="18"/>
              </w:rPr>
              <w:t>SH/T 0702</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31" w:hRule="atLeast"/>
          <w:jc w:val="center"/>
        </w:trPr>
        <w:tc>
          <w:tcPr>
            <w:tcW w:w="2235" w:type="dxa"/>
            <w:vAlign w:val="center"/>
          </w:tcPr>
          <w:p>
            <w:pPr>
              <w:jc w:val="center"/>
              <w:rPr>
                <w:rFonts w:ascii="宋体" w:hAnsi="宋体"/>
                <w:sz w:val="18"/>
                <w:szCs w:val="18"/>
              </w:rPr>
            </w:pPr>
            <w:r>
              <w:rPr>
                <w:rFonts w:hint="eastAsia" w:ascii="宋体" w:hAnsi="宋体"/>
                <w:sz w:val="18"/>
                <w:szCs w:val="18"/>
              </w:rPr>
              <w:t>残炭（质量分数），%</w:t>
            </w:r>
          </w:p>
          <w:p>
            <w:pPr>
              <w:jc w:val="center"/>
              <w:rPr>
                <w:rFonts w:ascii="宋体" w:hAnsi="宋体" w:eastAsia="宋体"/>
                <w:sz w:val="18"/>
                <w:szCs w:val="18"/>
              </w:rPr>
            </w:pPr>
            <w:r>
              <w:rPr>
                <w:rFonts w:hint="eastAsia" w:ascii="宋体" w:hAnsi="宋体"/>
                <w:sz w:val="18"/>
                <w:szCs w:val="18"/>
              </w:rPr>
              <w:t xml:space="preserve">            不大于</w:t>
            </w:r>
          </w:p>
        </w:tc>
        <w:tc>
          <w:tcPr>
            <w:tcW w:w="4141" w:type="dxa"/>
            <w:gridSpan w:val="4"/>
            <w:tcBorders>
              <w:left w:val="single" w:color="auto" w:sz="4" w:space="0"/>
            </w:tcBorders>
            <w:vAlign w:val="center"/>
          </w:tcPr>
          <w:p>
            <w:pPr>
              <w:jc w:val="center"/>
              <w:rPr>
                <w:rFonts w:ascii="宋体" w:hAnsi="宋体"/>
                <w:sz w:val="18"/>
                <w:szCs w:val="18"/>
              </w:rPr>
            </w:pPr>
          </w:p>
          <w:p>
            <w:pPr>
              <w:jc w:val="center"/>
              <w:rPr>
                <w:rFonts w:ascii="宋体" w:hAnsi="宋体" w:eastAsia="宋体"/>
                <w:sz w:val="18"/>
                <w:szCs w:val="18"/>
              </w:rPr>
            </w:pPr>
            <w:r>
              <w:rPr>
                <w:rFonts w:hint="eastAsia" w:ascii="宋体" w:hAnsi="宋体"/>
                <w:sz w:val="18"/>
                <w:szCs w:val="18"/>
              </w:rPr>
              <w:t>15.0</w:t>
            </w:r>
          </w:p>
        </w:tc>
        <w:tc>
          <w:tcPr>
            <w:tcW w:w="2134" w:type="dxa"/>
            <w:vAlign w:val="center"/>
          </w:tcPr>
          <w:p>
            <w:pPr>
              <w:jc w:val="left"/>
              <w:rPr>
                <w:rFonts w:ascii="宋体" w:hAnsi="宋体"/>
                <w:sz w:val="18"/>
                <w:szCs w:val="18"/>
              </w:rPr>
            </w:pPr>
            <w:r>
              <w:rPr>
                <w:rFonts w:hint="eastAsia" w:ascii="宋体" w:hAnsi="宋体"/>
                <w:sz w:val="18"/>
                <w:szCs w:val="18"/>
              </w:rPr>
              <w:t>G</w:t>
            </w:r>
            <w:r>
              <w:rPr>
                <w:rFonts w:ascii="宋体" w:hAnsi="宋体"/>
                <w:sz w:val="18"/>
                <w:szCs w:val="18"/>
              </w:rPr>
              <w:t>B/T 17144</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31" w:hRule="atLeast"/>
          <w:jc w:val="center"/>
        </w:trPr>
        <w:tc>
          <w:tcPr>
            <w:tcW w:w="2235" w:type="dxa"/>
            <w:vAlign w:val="center"/>
          </w:tcPr>
          <w:p>
            <w:pPr>
              <w:jc w:val="center"/>
              <w:rPr>
                <w:rFonts w:ascii="宋体" w:hAnsi="宋体"/>
                <w:sz w:val="18"/>
                <w:szCs w:val="18"/>
              </w:rPr>
            </w:pPr>
            <w:r>
              <w:rPr>
                <w:rFonts w:hint="eastAsia" w:ascii="宋体" w:hAnsi="宋体"/>
                <w:sz w:val="18"/>
                <w:szCs w:val="18"/>
              </w:rPr>
              <w:t>倾点，℃</w:t>
            </w:r>
          </w:p>
          <w:p>
            <w:pPr>
              <w:jc w:val="center"/>
              <w:rPr>
                <w:rFonts w:ascii="宋体" w:hAnsi="宋体" w:eastAsia="宋体"/>
                <w:sz w:val="18"/>
                <w:szCs w:val="18"/>
              </w:rPr>
            </w:pPr>
            <w:r>
              <w:rPr>
                <w:rFonts w:hint="eastAsia" w:ascii="宋体" w:hAnsi="宋体"/>
                <w:sz w:val="18"/>
                <w:szCs w:val="18"/>
              </w:rPr>
              <w:t xml:space="preserve">           不高于</w:t>
            </w:r>
          </w:p>
        </w:tc>
        <w:tc>
          <w:tcPr>
            <w:tcW w:w="4141" w:type="dxa"/>
            <w:gridSpan w:val="4"/>
            <w:tcBorders>
              <w:left w:val="single" w:color="auto" w:sz="4" w:space="0"/>
            </w:tcBorders>
            <w:vAlign w:val="center"/>
          </w:tcPr>
          <w:p>
            <w:pPr>
              <w:jc w:val="center"/>
              <w:rPr>
                <w:rFonts w:ascii="宋体" w:hAnsi="宋体"/>
                <w:sz w:val="18"/>
                <w:szCs w:val="18"/>
              </w:rPr>
            </w:pPr>
          </w:p>
          <w:p>
            <w:pPr>
              <w:jc w:val="center"/>
              <w:rPr>
                <w:rFonts w:ascii="宋体" w:hAnsi="宋体" w:eastAsia="宋体"/>
                <w:sz w:val="18"/>
                <w:szCs w:val="18"/>
              </w:rPr>
            </w:pPr>
            <w:r>
              <w:rPr>
                <w:rFonts w:hint="eastAsia" w:ascii="宋体" w:hAnsi="宋体"/>
                <w:sz w:val="18"/>
                <w:szCs w:val="18"/>
              </w:rPr>
              <w:t>30</w:t>
            </w:r>
          </w:p>
        </w:tc>
        <w:tc>
          <w:tcPr>
            <w:tcW w:w="2134" w:type="dxa"/>
            <w:vAlign w:val="center"/>
          </w:tcPr>
          <w:p>
            <w:pPr>
              <w:jc w:val="left"/>
              <w:rPr>
                <w:rFonts w:ascii="宋体" w:hAnsi="宋体"/>
                <w:sz w:val="18"/>
                <w:szCs w:val="18"/>
              </w:rPr>
            </w:pPr>
            <w:r>
              <w:rPr>
                <w:rFonts w:hint="eastAsia" w:ascii="宋体" w:hAnsi="宋体"/>
                <w:sz w:val="18"/>
                <w:szCs w:val="18"/>
              </w:rPr>
              <w:t>G</w:t>
            </w:r>
            <w:r>
              <w:rPr>
                <w:rFonts w:ascii="宋体" w:hAnsi="宋体"/>
                <w:sz w:val="18"/>
                <w:szCs w:val="18"/>
              </w:rPr>
              <w:t>B/T 3535</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31" w:hRule="atLeast"/>
          <w:jc w:val="center"/>
        </w:trPr>
        <w:tc>
          <w:tcPr>
            <w:tcW w:w="2235" w:type="dxa"/>
            <w:vAlign w:val="center"/>
          </w:tcPr>
          <w:p>
            <w:pPr>
              <w:jc w:val="center"/>
              <w:rPr>
                <w:rFonts w:ascii="宋体" w:hAnsi="宋体"/>
                <w:sz w:val="18"/>
                <w:szCs w:val="18"/>
              </w:rPr>
            </w:pPr>
            <w:r>
              <w:rPr>
                <w:rFonts w:hint="eastAsia" w:ascii="宋体" w:hAnsi="宋体"/>
                <w:sz w:val="18"/>
                <w:szCs w:val="18"/>
              </w:rPr>
              <w:t>水分（体积分数），%</w:t>
            </w:r>
          </w:p>
          <w:p>
            <w:pPr>
              <w:jc w:val="center"/>
              <w:rPr>
                <w:rFonts w:ascii="宋体" w:hAnsi="宋体" w:eastAsia="宋体"/>
                <w:sz w:val="18"/>
                <w:szCs w:val="18"/>
              </w:rPr>
            </w:pPr>
            <w:r>
              <w:rPr>
                <w:rFonts w:hint="eastAsia" w:ascii="宋体" w:hAnsi="宋体"/>
                <w:sz w:val="18"/>
                <w:szCs w:val="18"/>
              </w:rPr>
              <w:t xml:space="preserve">          不大于 </w:t>
            </w:r>
          </w:p>
        </w:tc>
        <w:tc>
          <w:tcPr>
            <w:tcW w:w="4141" w:type="dxa"/>
            <w:gridSpan w:val="4"/>
            <w:tcBorders>
              <w:left w:val="single" w:color="auto" w:sz="4" w:space="0"/>
            </w:tcBorders>
            <w:vAlign w:val="center"/>
          </w:tcPr>
          <w:p>
            <w:pPr>
              <w:jc w:val="center"/>
              <w:rPr>
                <w:rFonts w:ascii="宋体" w:hAnsi="宋体"/>
                <w:sz w:val="18"/>
                <w:szCs w:val="18"/>
              </w:rPr>
            </w:pPr>
          </w:p>
          <w:p>
            <w:pPr>
              <w:jc w:val="center"/>
              <w:rPr>
                <w:rFonts w:ascii="宋体" w:hAnsi="宋体" w:eastAsia="宋体"/>
                <w:sz w:val="18"/>
                <w:szCs w:val="18"/>
              </w:rPr>
            </w:pPr>
            <w:r>
              <w:rPr>
                <w:rFonts w:hint="eastAsia" w:ascii="宋体" w:hAnsi="宋体"/>
                <w:sz w:val="18"/>
                <w:szCs w:val="18"/>
              </w:rPr>
              <w:t>0.50</w:t>
            </w:r>
          </w:p>
        </w:tc>
        <w:tc>
          <w:tcPr>
            <w:tcW w:w="2134" w:type="dxa"/>
            <w:vAlign w:val="center"/>
          </w:tcPr>
          <w:p>
            <w:pPr>
              <w:jc w:val="left"/>
              <w:rPr>
                <w:rFonts w:ascii="宋体" w:hAnsi="宋体"/>
                <w:sz w:val="18"/>
                <w:szCs w:val="18"/>
              </w:rPr>
            </w:pPr>
            <w:r>
              <w:rPr>
                <w:rFonts w:hint="eastAsia" w:ascii="宋体" w:hAnsi="宋体"/>
                <w:sz w:val="18"/>
                <w:szCs w:val="18"/>
              </w:rPr>
              <w:t>G</w:t>
            </w:r>
            <w:r>
              <w:rPr>
                <w:rFonts w:ascii="宋体" w:hAnsi="宋体"/>
                <w:sz w:val="18"/>
                <w:szCs w:val="18"/>
              </w:rPr>
              <w:t>B/T 260</w:t>
            </w:r>
          </w:p>
          <w:p>
            <w:pPr>
              <w:jc w:val="left"/>
              <w:rPr>
                <w:rFonts w:ascii="宋体" w:hAnsi="宋体" w:eastAsia="宋体"/>
                <w:sz w:val="18"/>
                <w:szCs w:val="18"/>
              </w:rPr>
            </w:pPr>
            <w:r>
              <w:rPr>
                <w:rFonts w:hint="eastAsia" w:ascii="宋体" w:hAnsi="宋体"/>
                <w:sz w:val="18"/>
                <w:szCs w:val="18"/>
              </w:rPr>
              <w:t>GB/T 11133</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31" w:hRule="atLeast"/>
          <w:jc w:val="center"/>
        </w:trPr>
        <w:tc>
          <w:tcPr>
            <w:tcW w:w="2235" w:type="dxa"/>
            <w:vAlign w:val="center"/>
          </w:tcPr>
          <w:p>
            <w:pPr>
              <w:jc w:val="center"/>
              <w:rPr>
                <w:rFonts w:ascii="宋体" w:hAnsi="宋体"/>
                <w:sz w:val="18"/>
                <w:szCs w:val="18"/>
              </w:rPr>
            </w:pPr>
            <w:r>
              <w:rPr>
                <w:rFonts w:hint="eastAsia" w:ascii="宋体" w:hAnsi="宋体"/>
                <w:sz w:val="18"/>
                <w:szCs w:val="18"/>
              </w:rPr>
              <w:t>灰分（质量分数），%</w:t>
            </w:r>
          </w:p>
          <w:p>
            <w:pPr>
              <w:jc w:val="center"/>
              <w:rPr>
                <w:rFonts w:ascii="宋体" w:hAnsi="宋体" w:eastAsia="宋体"/>
                <w:sz w:val="18"/>
                <w:szCs w:val="18"/>
              </w:rPr>
            </w:pPr>
            <w:r>
              <w:rPr>
                <w:rFonts w:hint="eastAsia" w:ascii="宋体" w:hAnsi="宋体"/>
                <w:sz w:val="18"/>
                <w:szCs w:val="18"/>
              </w:rPr>
              <w:t xml:space="preserve">          不大于</w:t>
            </w:r>
          </w:p>
        </w:tc>
        <w:tc>
          <w:tcPr>
            <w:tcW w:w="4141" w:type="dxa"/>
            <w:gridSpan w:val="4"/>
            <w:tcBorders>
              <w:left w:val="single" w:color="auto" w:sz="4" w:space="0"/>
            </w:tcBorders>
            <w:vAlign w:val="center"/>
          </w:tcPr>
          <w:p>
            <w:pPr>
              <w:jc w:val="center"/>
              <w:rPr>
                <w:rFonts w:ascii="宋体" w:hAnsi="宋体"/>
                <w:sz w:val="18"/>
                <w:szCs w:val="18"/>
              </w:rPr>
            </w:pPr>
          </w:p>
          <w:p>
            <w:pPr>
              <w:jc w:val="center"/>
              <w:rPr>
                <w:rFonts w:ascii="宋体" w:hAnsi="宋体" w:eastAsia="宋体"/>
                <w:sz w:val="18"/>
                <w:szCs w:val="18"/>
              </w:rPr>
            </w:pPr>
            <w:r>
              <w:rPr>
                <w:rFonts w:hint="eastAsia" w:ascii="宋体" w:hAnsi="宋体"/>
                <w:sz w:val="18"/>
                <w:szCs w:val="18"/>
              </w:rPr>
              <w:t>0.09</w:t>
            </w:r>
          </w:p>
        </w:tc>
        <w:tc>
          <w:tcPr>
            <w:tcW w:w="2134" w:type="dxa"/>
            <w:vAlign w:val="center"/>
          </w:tcPr>
          <w:p>
            <w:pPr>
              <w:jc w:val="left"/>
              <w:rPr>
                <w:rFonts w:ascii="宋体" w:hAnsi="宋体"/>
                <w:sz w:val="18"/>
                <w:szCs w:val="18"/>
              </w:rPr>
            </w:pPr>
            <w:r>
              <w:rPr>
                <w:rFonts w:hint="eastAsia" w:ascii="宋体" w:hAnsi="宋体"/>
                <w:sz w:val="18"/>
                <w:szCs w:val="18"/>
              </w:rPr>
              <w:t>G</w:t>
            </w:r>
            <w:r>
              <w:rPr>
                <w:rFonts w:ascii="宋体" w:hAnsi="宋体"/>
                <w:sz w:val="18"/>
                <w:szCs w:val="18"/>
              </w:rPr>
              <w:t>B/T 508</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31" w:hRule="atLeast"/>
          <w:jc w:val="center"/>
        </w:trPr>
        <w:tc>
          <w:tcPr>
            <w:tcW w:w="2235" w:type="dxa"/>
            <w:vAlign w:val="center"/>
          </w:tcPr>
          <w:p>
            <w:pPr>
              <w:jc w:val="center"/>
              <w:rPr>
                <w:rFonts w:ascii="宋体" w:hAnsi="宋体"/>
                <w:sz w:val="18"/>
                <w:szCs w:val="18"/>
              </w:rPr>
            </w:pPr>
            <w:r>
              <w:rPr>
                <w:rFonts w:hint="eastAsia" w:ascii="宋体" w:hAnsi="宋体"/>
                <w:sz w:val="18"/>
                <w:szCs w:val="18"/>
              </w:rPr>
              <w:t>净热值，MJ</w:t>
            </w:r>
            <w:r>
              <w:rPr>
                <w:rFonts w:ascii="宋体" w:hAnsi="宋体"/>
                <w:sz w:val="18"/>
                <w:szCs w:val="18"/>
              </w:rPr>
              <w:t>/</w:t>
            </w:r>
            <w:r>
              <w:rPr>
                <w:rFonts w:hint="eastAsia" w:ascii="宋体" w:hAnsi="宋体"/>
                <w:sz w:val="18"/>
                <w:szCs w:val="18"/>
              </w:rPr>
              <w:t>kg</w:t>
            </w:r>
          </w:p>
          <w:p>
            <w:pPr>
              <w:jc w:val="center"/>
              <w:rPr>
                <w:rFonts w:ascii="宋体" w:hAnsi="宋体" w:eastAsia="宋体"/>
                <w:sz w:val="18"/>
                <w:szCs w:val="18"/>
              </w:rPr>
            </w:pPr>
            <w:r>
              <w:rPr>
                <w:rFonts w:hint="eastAsia" w:ascii="宋体" w:hAnsi="宋体"/>
                <w:sz w:val="18"/>
                <w:szCs w:val="18"/>
              </w:rPr>
              <w:t xml:space="preserve">               不小于</w:t>
            </w:r>
          </w:p>
        </w:tc>
        <w:tc>
          <w:tcPr>
            <w:tcW w:w="4141" w:type="dxa"/>
            <w:gridSpan w:val="4"/>
            <w:tcBorders>
              <w:left w:val="single" w:color="auto" w:sz="4" w:space="0"/>
            </w:tcBorders>
            <w:vAlign w:val="center"/>
          </w:tcPr>
          <w:p>
            <w:pPr>
              <w:jc w:val="center"/>
              <w:rPr>
                <w:rFonts w:ascii="宋体" w:hAnsi="宋体"/>
                <w:sz w:val="18"/>
                <w:szCs w:val="18"/>
              </w:rPr>
            </w:pPr>
          </w:p>
          <w:p>
            <w:pPr>
              <w:jc w:val="center"/>
              <w:rPr>
                <w:rFonts w:ascii="宋体" w:hAnsi="宋体" w:eastAsia="宋体"/>
                <w:sz w:val="18"/>
                <w:szCs w:val="18"/>
              </w:rPr>
            </w:pPr>
            <w:r>
              <w:rPr>
                <w:rFonts w:hint="eastAsia" w:ascii="宋体" w:hAnsi="宋体"/>
                <w:sz w:val="18"/>
                <w:szCs w:val="18"/>
              </w:rPr>
              <w:t>38.5</w:t>
            </w:r>
          </w:p>
        </w:tc>
        <w:tc>
          <w:tcPr>
            <w:tcW w:w="2134" w:type="dxa"/>
            <w:vAlign w:val="center"/>
          </w:tcPr>
          <w:p>
            <w:pPr>
              <w:jc w:val="left"/>
              <w:rPr>
                <w:rFonts w:ascii="宋体" w:hAnsi="宋体" w:eastAsia="宋体"/>
                <w:sz w:val="18"/>
                <w:szCs w:val="18"/>
              </w:rPr>
            </w:pPr>
            <w:r>
              <w:rPr>
                <w:rFonts w:hint="eastAsia" w:ascii="宋体" w:hAnsi="宋体"/>
                <w:sz w:val="18"/>
                <w:szCs w:val="18"/>
              </w:rPr>
              <w:t>ASTM D240</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31" w:hRule="atLeast"/>
          <w:jc w:val="center"/>
        </w:trPr>
        <w:tc>
          <w:tcPr>
            <w:tcW w:w="2235" w:type="dxa"/>
            <w:vAlign w:val="center"/>
          </w:tcPr>
          <w:p>
            <w:pPr>
              <w:jc w:val="center"/>
              <w:rPr>
                <w:rFonts w:ascii="宋体" w:hAnsi="宋体"/>
                <w:sz w:val="18"/>
                <w:szCs w:val="18"/>
              </w:rPr>
            </w:pPr>
            <w:r>
              <w:rPr>
                <w:rFonts w:hint="eastAsia" w:ascii="宋体" w:hAnsi="宋体"/>
                <w:sz w:val="18"/>
                <w:szCs w:val="18"/>
              </w:rPr>
              <w:t>钒，mg</w:t>
            </w:r>
            <w:r>
              <w:rPr>
                <w:rFonts w:ascii="宋体" w:hAnsi="宋体"/>
                <w:sz w:val="18"/>
                <w:szCs w:val="18"/>
              </w:rPr>
              <w:t>/</w:t>
            </w:r>
            <w:r>
              <w:rPr>
                <w:rFonts w:hint="eastAsia" w:ascii="宋体" w:hAnsi="宋体"/>
                <w:sz w:val="18"/>
                <w:szCs w:val="18"/>
              </w:rPr>
              <w:t>kg</w:t>
            </w:r>
          </w:p>
          <w:p>
            <w:pPr>
              <w:jc w:val="center"/>
              <w:rPr>
                <w:rFonts w:ascii="宋体" w:hAnsi="宋体" w:eastAsia="宋体"/>
                <w:sz w:val="18"/>
                <w:szCs w:val="18"/>
              </w:rPr>
            </w:pPr>
            <w:r>
              <w:rPr>
                <w:rFonts w:hint="eastAsia" w:ascii="宋体" w:hAnsi="宋体"/>
                <w:sz w:val="18"/>
                <w:szCs w:val="18"/>
              </w:rPr>
              <w:t xml:space="preserve">                不大于</w:t>
            </w:r>
          </w:p>
        </w:tc>
        <w:tc>
          <w:tcPr>
            <w:tcW w:w="4141" w:type="dxa"/>
            <w:gridSpan w:val="4"/>
            <w:tcBorders>
              <w:left w:val="single" w:color="auto" w:sz="4" w:space="0"/>
            </w:tcBorders>
            <w:vAlign w:val="center"/>
          </w:tcPr>
          <w:p>
            <w:pPr>
              <w:jc w:val="center"/>
              <w:rPr>
                <w:rFonts w:ascii="宋体" w:hAnsi="宋体"/>
                <w:sz w:val="18"/>
                <w:szCs w:val="18"/>
              </w:rPr>
            </w:pPr>
          </w:p>
          <w:p>
            <w:pPr>
              <w:jc w:val="center"/>
              <w:rPr>
                <w:rFonts w:ascii="宋体" w:hAnsi="宋体" w:eastAsia="宋体"/>
                <w:sz w:val="18"/>
                <w:szCs w:val="18"/>
              </w:rPr>
            </w:pPr>
            <w:r>
              <w:rPr>
                <w:rFonts w:hint="eastAsia" w:ascii="宋体" w:hAnsi="宋体"/>
                <w:sz w:val="18"/>
                <w:szCs w:val="18"/>
              </w:rPr>
              <w:t>130</w:t>
            </w:r>
          </w:p>
        </w:tc>
        <w:tc>
          <w:tcPr>
            <w:tcW w:w="2134" w:type="dxa"/>
            <w:vAlign w:val="center"/>
          </w:tcPr>
          <w:p>
            <w:pPr>
              <w:jc w:val="left"/>
              <w:rPr>
                <w:rFonts w:ascii="宋体" w:hAnsi="宋体"/>
                <w:sz w:val="18"/>
                <w:szCs w:val="18"/>
              </w:rPr>
            </w:pPr>
            <w:r>
              <w:rPr>
                <w:rFonts w:hint="eastAsia" w:ascii="宋体" w:hAnsi="宋体"/>
                <w:sz w:val="18"/>
                <w:szCs w:val="18"/>
              </w:rPr>
              <w:t>I</w:t>
            </w:r>
            <w:r>
              <w:rPr>
                <w:rFonts w:ascii="宋体" w:hAnsi="宋体"/>
                <w:sz w:val="18"/>
                <w:szCs w:val="18"/>
              </w:rPr>
              <w:t>P 501</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31" w:hRule="atLeast"/>
          <w:jc w:val="center"/>
        </w:trPr>
        <w:tc>
          <w:tcPr>
            <w:tcW w:w="2235" w:type="dxa"/>
            <w:vAlign w:val="center"/>
          </w:tcPr>
          <w:p>
            <w:pPr>
              <w:jc w:val="center"/>
              <w:rPr>
                <w:rFonts w:ascii="宋体" w:hAnsi="宋体"/>
                <w:sz w:val="18"/>
                <w:szCs w:val="18"/>
              </w:rPr>
            </w:pPr>
            <w:r>
              <w:rPr>
                <w:rFonts w:hint="eastAsia" w:ascii="宋体" w:hAnsi="宋体"/>
                <w:sz w:val="18"/>
                <w:szCs w:val="18"/>
              </w:rPr>
              <w:t>钠，mg</w:t>
            </w:r>
            <w:r>
              <w:rPr>
                <w:rFonts w:ascii="宋体" w:hAnsi="宋体"/>
                <w:sz w:val="18"/>
                <w:szCs w:val="18"/>
              </w:rPr>
              <w:t>/</w:t>
            </w:r>
            <w:r>
              <w:rPr>
                <w:rFonts w:hint="eastAsia" w:ascii="宋体" w:hAnsi="宋体"/>
                <w:sz w:val="18"/>
                <w:szCs w:val="18"/>
              </w:rPr>
              <w:t>kg</w:t>
            </w:r>
          </w:p>
          <w:p>
            <w:pPr>
              <w:jc w:val="center"/>
              <w:rPr>
                <w:rFonts w:ascii="宋体" w:hAnsi="宋体" w:eastAsia="宋体"/>
                <w:sz w:val="18"/>
                <w:szCs w:val="18"/>
              </w:rPr>
            </w:pPr>
            <w:r>
              <w:rPr>
                <w:rFonts w:hint="eastAsia" w:ascii="宋体" w:hAnsi="宋体"/>
                <w:sz w:val="18"/>
                <w:szCs w:val="18"/>
              </w:rPr>
              <w:t xml:space="preserve">               不大于</w:t>
            </w:r>
          </w:p>
        </w:tc>
        <w:tc>
          <w:tcPr>
            <w:tcW w:w="4141" w:type="dxa"/>
            <w:gridSpan w:val="4"/>
            <w:tcBorders>
              <w:left w:val="single" w:color="auto" w:sz="4" w:space="0"/>
            </w:tcBorders>
            <w:vAlign w:val="center"/>
          </w:tcPr>
          <w:p>
            <w:pPr>
              <w:jc w:val="center"/>
              <w:rPr>
                <w:rFonts w:ascii="宋体" w:hAnsi="宋体"/>
                <w:sz w:val="18"/>
                <w:szCs w:val="18"/>
              </w:rPr>
            </w:pPr>
          </w:p>
          <w:p>
            <w:pPr>
              <w:jc w:val="center"/>
              <w:rPr>
                <w:rFonts w:ascii="宋体" w:hAnsi="宋体" w:eastAsia="宋体"/>
                <w:sz w:val="18"/>
                <w:szCs w:val="18"/>
              </w:rPr>
            </w:pPr>
            <w:r>
              <w:rPr>
                <w:rFonts w:hint="eastAsia" w:ascii="宋体" w:hAnsi="宋体"/>
                <w:sz w:val="18"/>
                <w:szCs w:val="18"/>
              </w:rPr>
              <w:t>85</w:t>
            </w:r>
          </w:p>
        </w:tc>
        <w:tc>
          <w:tcPr>
            <w:tcW w:w="2134" w:type="dxa"/>
            <w:vAlign w:val="center"/>
          </w:tcPr>
          <w:p>
            <w:pPr>
              <w:jc w:val="left"/>
              <w:rPr>
                <w:rFonts w:ascii="宋体" w:hAnsi="宋体"/>
                <w:sz w:val="18"/>
                <w:szCs w:val="18"/>
              </w:rPr>
            </w:pPr>
            <w:r>
              <w:rPr>
                <w:rFonts w:hint="eastAsia" w:ascii="宋体" w:hAnsi="宋体"/>
                <w:sz w:val="18"/>
                <w:szCs w:val="18"/>
              </w:rPr>
              <w:t>I</w:t>
            </w:r>
            <w:r>
              <w:rPr>
                <w:rFonts w:ascii="宋体" w:hAnsi="宋体"/>
                <w:sz w:val="18"/>
                <w:szCs w:val="18"/>
              </w:rPr>
              <w:t>P 501</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31" w:hRule="atLeast"/>
          <w:jc w:val="center"/>
        </w:trPr>
        <w:tc>
          <w:tcPr>
            <w:tcW w:w="2235" w:type="dxa"/>
            <w:vAlign w:val="center"/>
          </w:tcPr>
          <w:p>
            <w:pPr>
              <w:jc w:val="center"/>
              <w:rPr>
                <w:rFonts w:ascii="宋体" w:hAnsi="宋体"/>
                <w:sz w:val="18"/>
                <w:szCs w:val="18"/>
              </w:rPr>
            </w:pPr>
            <w:r>
              <w:rPr>
                <w:rFonts w:hint="eastAsia" w:ascii="宋体" w:hAnsi="宋体"/>
                <w:sz w:val="18"/>
                <w:szCs w:val="18"/>
              </w:rPr>
              <w:t>铝+硅，mg</w:t>
            </w:r>
            <w:r>
              <w:rPr>
                <w:rFonts w:ascii="宋体" w:hAnsi="宋体"/>
                <w:sz w:val="18"/>
                <w:szCs w:val="18"/>
              </w:rPr>
              <w:t>/</w:t>
            </w:r>
            <w:r>
              <w:rPr>
                <w:rFonts w:hint="eastAsia" w:ascii="宋体" w:hAnsi="宋体"/>
                <w:sz w:val="18"/>
                <w:szCs w:val="18"/>
              </w:rPr>
              <w:t>kg</w:t>
            </w:r>
          </w:p>
          <w:p>
            <w:pPr>
              <w:jc w:val="center"/>
              <w:rPr>
                <w:rFonts w:ascii="宋体" w:hAnsi="宋体" w:eastAsia="宋体"/>
                <w:sz w:val="18"/>
                <w:szCs w:val="18"/>
              </w:rPr>
            </w:pPr>
            <w:r>
              <w:rPr>
                <w:rFonts w:hint="eastAsia" w:ascii="宋体" w:hAnsi="宋体"/>
                <w:sz w:val="18"/>
                <w:szCs w:val="18"/>
              </w:rPr>
              <w:t xml:space="preserve">               不大于</w:t>
            </w:r>
          </w:p>
        </w:tc>
        <w:tc>
          <w:tcPr>
            <w:tcW w:w="4141" w:type="dxa"/>
            <w:gridSpan w:val="4"/>
            <w:tcBorders>
              <w:left w:val="single" w:color="auto" w:sz="4" w:space="0"/>
            </w:tcBorders>
            <w:vAlign w:val="center"/>
          </w:tcPr>
          <w:p>
            <w:pPr>
              <w:jc w:val="center"/>
              <w:rPr>
                <w:rFonts w:ascii="宋体" w:hAnsi="宋体"/>
                <w:sz w:val="18"/>
                <w:szCs w:val="18"/>
              </w:rPr>
            </w:pPr>
          </w:p>
          <w:p>
            <w:pPr>
              <w:jc w:val="center"/>
              <w:rPr>
                <w:rFonts w:ascii="宋体" w:hAnsi="宋体" w:eastAsia="宋体"/>
                <w:sz w:val="18"/>
                <w:szCs w:val="18"/>
              </w:rPr>
            </w:pPr>
            <w:r>
              <w:rPr>
                <w:rFonts w:hint="eastAsia" w:ascii="宋体" w:hAnsi="宋体"/>
                <w:sz w:val="18"/>
                <w:szCs w:val="18"/>
              </w:rPr>
              <w:t>50</w:t>
            </w:r>
          </w:p>
        </w:tc>
        <w:tc>
          <w:tcPr>
            <w:tcW w:w="2134" w:type="dxa"/>
            <w:vAlign w:val="center"/>
          </w:tcPr>
          <w:p>
            <w:pPr>
              <w:jc w:val="left"/>
              <w:rPr>
                <w:rFonts w:ascii="宋体" w:hAnsi="宋体"/>
                <w:sz w:val="18"/>
                <w:szCs w:val="18"/>
              </w:rPr>
            </w:pPr>
            <w:r>
              <w:rPr>
                <w:rFonts w:hint="eastAsia" w:ascii="宋体" w:hAnsi="宋体"/>
                <w:sz w:val="18"/>
                <w:szCs w:val="18"/>
              </w:rPr>
              <w:t>I</w:t>
            </w:r>
            <w:r>
              <w:rPr>
                <w:rFonts w:ascii="宋体" w:hAnsi="宋体"/>
                <w:sz w:val="18"/>
                <w:szCs w:val="18"/>
              </w:rPr>
              <w:t>P 501</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31" w:hRule="atLeast"/>
          <w:jc w:val="center"/>
        </w:trPr>
        <w:tc>
          <w:tcPr>
            <w:tcW w:w="2235" w:type="dxa"/>
            <w:vAlign w:val="center"/>
          </w:tcPr>
          <w:p>
            <w:pPr>
              <w:jc w:val="center"/>
              <w:rPr>
                <w:rFonts w:ascii="宋体" w:hAnsi="宋体"/>
                <w:sz w:val="18"/>
                <w:szCs w:val="18"/>
              </w:rPr>
            </w:pPr>
            <w:r>
              <w:rPr>
                <w:rFonts w:hint="eastAsia" w:ascii="宋体" w:hAnsi="宋体"/>
                <w:sz w:val="18"/>
                <w:szCs w:val="18"/>
              </w:rPr>
              <w:t>使用过的润滑油（ULO），mg</w:t>
            </w:r>
            <w:r>
              <w:rPr>
                <w:rFonts w:ascii="宋体" w:hAnsi="宋体"/>
                <w:sz w:val="18"/>
                <w:szCs w:val="18"/>
              </w:rPr>
              <w:t>/</w:t>
            </w:r>
            <w:r>
              <w:rPr>
                <w:rFonts w:hint="eastAsia" w:ascii="宋体" w:hAnsi="宋体"/>
                <w:sz w:val="18"/>
                <w:szCs w:val="18"/>
              </w:rPr>
              <w:t>kg</w:t>
            </w:r>
          </w:p>
          <w:p>
            <w:pPr>
              <w:jc w:val="center"/>
              <w:rPr>
                <w:rFonts w:ascii="宋体" w:hAnsi="宋体"/>
                <w:sz w:val="18"/>
                <w:szCs w:val="18"/>
              </w:rPr>
            </w:pPr>
            <w:r>
              <w:rPr>
                <w:rFonts w:hint="eastAsia" w:ascii="宋体" w:hAnsi="宋体"/>
                <w:sz w:val="18"/>
                <w:szCs w:val="18"/>
              </w:rPr>
              <w:t>钙和锌</w:t>
            </w:r>
          </w:p>
          <w:p>
            <w:pPr>
              <w:jc w:val="center"/>
              <w:rPr>
                <w:rFonts w:ascii="宋体" w:hAnsi="宋体"/>
                <w:sz w:val="18"/>
                <w:szCs w:val="18"/>
              </w:rPr>
            </w:pPr>
            <w:r>
              <w:rPr>
                <w:rFonts w:hint="eastAsia" w:ascii="宋体" w:hAnsi="宋体"/>
                <w:sz w:val="18"/>
                <w:szCs w:val="18"/>
              </w:rPr>
              <w:t>钙和磷</w:t>
            </w:r>
          </w:p>
        </w:tc>
        <w:tc>
          <w:tcPr>
            <w:tcW w:w="4141" w:type="dxa"/>
            <w:gridSpan w:val="4"/>
            <w:tcBorders>
              <w:left w:val="single" w:color="auto" w:sz="4" w:space="0"/>
            </w:tcBorders>
            <w:vAlign w:val="center"/>
          </w:tcPr>
          <w:p>
            <w:pPr>
              <w:jc w:val="left"/>
              <w:rPr>
                <w:rFonts w:ascii="宋体" w:hAnsi="宋体"/>
                <w:sz w:val="18"/>
                <w:szCs w:val="18"/>
              </w:rPr>
            </w:pPr>
            <w:r>
              <w:rPr>
                <w:rFonts w:hint="eastAsia" w:ascii="宋体" w:hAnsi="宋体"/>
                <w:sz w:val="18"/>
                <w:szCs w:val="18"/>
              </w:rPr>
              <w:t>船用生物燃料油应不含ULO,符合下述条件之一，认为含有ULO：</w:t>
            </w:r>
          </w:p>
          <w:p>
            <w:pPr>
              <w:jc w:val="center"/>
              <w:rPr>
                <w:rFonts w:ascii="宋体" w:hAnsi="宋体"/>
                <w:sz w:val="18"/>
                <w:szCs w:val="18"/>
              </w:rPr>
            </w:pPr>
            <w:r>
              <w:rPr>
                <w:rFonts w:hint="eastAsia" w:ascii="宋体" w:hAnsi="宋体"/>
                <w:sz w:val="18"/>
                <w:szCs w:val="18"/>
              </w:rPr>
              <w:t>钙＞30且锌＞15</w:t>
            </w:r>
          </w:p>
          <w:p>
            <w:pPr>
              <w:jc w:val="center"/>
              <w:rPr>
                <w:rFonts w:ascii="宋体" w:hAnsi="宋体" w:eastAsia="宋体" w:cs="Times New Roman"/>
                <w:sz w:val="18"/>
                <w:szCs w:val="18"/>
              </w:rPr>
            </w:pPr>
            <w:r>
              <w:rPr>
                <w:rFonts w:hint="eastAsia" w:ascii="宋体" w:hAnsi="宋体"/>
                <w:sz w:val="18"/>
                <w:szCs w:val="18"/>
              </w:rPr>
              <w:t>钙＞30且磷＞15</w:t>
            </w:r>
          </w:p>
        </w:tc>
        <w:tc>
          <w:tcPr>
            <w:tcW w:w="2134" w:type="dxa"/>
            <w:vAlign w:val="center"/>
          </w:tcPr>
          <w:p>
            <w:pPr>
              <w:jc w:val="left"/>
              <w:rPr>
                <w:rFonts w:ascii="宋体" w:hAnsi="宋体" w:eastAsia="宋体" w:cs="Times New Roman"/>
                <w:sz w:val="18"/>
                <w:szCs w:val="18"/>
              </w:rPr>
            </w:pPr>
            <w:r>
              <w:rPr>
                <w:rFonts w:hint="eastAsia" w:ascii="宋体" w:hAnsi="宋体"/>
                <w:sz w:val="18"/>
                <w:szCs w:val="18"/>
              </w:rPr>
              <w:t>I</w:t>
            </w:r>
            <w:r>
              <w:rPr>
                <w:rFonts w:ascii="宋体" w:hAnsi="宋体"/>
                <w:sz w:val="18"/>
                <w:szCs w:val="18"/>
              </w:rPr>
              <w:t>P 501</w:t>
            </w:r>
          </w:p>
        </w:tc>
      </w:tr>
    </w:tbl>
    <w:p>
      <w:pPr>
        <w:rPr>
          <w:rFonts w:eastAsia="宋体"/>
          <w:color w:val="0000FF"/>
        </w:rPr>
      </w:pP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embedRegular r:id="rId1" w:fontKey="{2F2B88AE-A8D5-49DF-AF0F-CC943E811C97}"/>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公文小标宋">
    <w:panose1 w:val="02000500000000000000"/>
    <w:charset w:val="86"/>
    <w:family w:val="auto"/>
    <w:pitch w:val="default"/>
    <w:sig w:usb0="A00002BF" w:usb1="38CF7CFA" w:usb2="00000016" w:usb3="00000000" w:csb0="00040001" w:csb1="00000000"/>
    <w:embedRegular r:id="rId2" w:fontKey="{B4391189-9C74-4554-B598-2CA1E6C8A879}"/>
  </w:font>
  <w:font w:name="Calibri Light">
    <w:panose1 w:val="020F0302020204030204"/>
    <w:charset w:val="00"/>
    <w:family w:val="auto"/>
    <w:pitch w:val="default"/>
    <w:sig w:usb0="A00002EF" w:usb1="4000207B" w:usb2="00000000" w:usb3="00000000" w:csb0="2000019F" w:csb1="00000000"/>
  </w:font>
  <w:font w:name="方正楷体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16615CA"/>
    <w:multiLevelType w:val="singleLevel"/>
    <w:tmpl w:val="516615CA"/>
    <w:lvl w:ilvl="0" w:tentative="0">
      <w:start w:val="1"/>
      <w:numFmt w:val="chineseCounting"/>
      <w:suff w:val="nothing"/>
      <w:lvlText w:val="%1、"/>
      <w:lvlJc w:val="left"/>
      <w:rPr>
        <w:rFonts w:hint="eastAsia"/>
      </w:rPr>
    </w:lvl>
  </w:abstractNum>
  <w:abstractNum w:abstractNumId="1">
    <w:nsid w:val="745DD61D"/>
    <w:multiLevelType w:val="singleLevel"/>
    <w:tmpl w:val="745DD61D"/>
    <w:lvl w:ilvl="0" w:tentative="0">
      <w:start w:val="6"/>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g0ZWEyZjk4NmQ2YzhiNDAyZDNiMTI0ODM1ZWZmNDEifQ=="/>
  </w:docVars>
  <w:rsids>
    <w:rsidRoot w:val="00C94C13"/>
    <w:rsid w:val="004208DE"/>
    <w:rsid w:val="00C80639"/>
    <w:rsid w:val="00C94C13"/>
    <w:rsid w:val="02380793"/>
    <w:rsid w:val="029A7705"/>
    <w:rsid w:val="04B76E0C"/>
    <w:rsid w:val="073029EE"/>
    <w:rsid w:val="07C25D78"/>
    <w:rsid w:val="08FB6A66"/>
    <w:rsid w:val="0AFD6BE5"/>
    <w:rsid w:val="0BB648DE"/>
    <w:rsid w:val="0D9F115F"/>
    <w:rsid w:val="1159757E"/>
    <w:rsid w:val="121F7280"/>
    <w:rsid w:val="16157A01"/>
    <w:rsid w:val="215512A6"/>
    <w:rsid w:val="27DD4CA9"/>
    <w:rsid w:val="2A6A30F1"/>
    <w:rsid w:val="2B3968AC"/>
    <w:rsid w:val="2B9371C3"/>
    <w:rsid w:val="2E8966A1"/>
    <w:rsid w:val="303C6130"/>
    <w:rsid w:val="30716BBA"/>
    <w:rsid w:val="33132D68"/>
    <w:rsid w:val="392A390C"/>
    <w:rsid w:val="393915D4"/>
    <w:rsid w:val="3A7553B9"/>
    <w:rsid w:val="3CA709A2"/>
    <w:rsid w:val="3D605435"/>
    <w:rsid w:val="3D6D69AC"/>
    <w:rsid w:val="3FB1448E"/>
    <w:rsid w:val="42363C14"/>
    <w:rsid w:val="438112E8"/>
    <w:rsid w:val="44937B90"/>
    <w:rsid w:val="4A5E04D6"/>
    <w:rsid w:val="4D4B515F"/>
    <w:rsid w:val="587C73F7"/>
    <w:rsid w:val="5A111B7A"/>
    <w:rsid w:val="5D910AFF"/>
    <w:rsid w:val="5D9F6937"/>
    <w:rsid w:val="5F2931A3"/>
    <w:rsid w:val="64F54905"/>
    <w:rsid w:val="67D76AB8"/>
    <w:rsid w:val="6D3F0468"/>
    <w:rsid w:val="6E102F4E"/>
    <w:rsid w:val="77FF0F20"/>
    <w:rsid w:val="789710F4"/>
    <w:rsid w:val="78CE5E6C"/>
    <w:rsid w:val="7FC812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2"/>
    <w:uiPriority w:val="0"/>
    <w:pPr>
      <w:tabs>
        <w:tab w:val="center" w:pos="4153"/>
        <w:tab w:val="right" w:pos="8306"/>
      </w:tabs>
      <w:snapToGrid w:val="0"/>
      <w:jc w:val="left"/>
    </w:pPr>
    <w:rPr>
      <w:sz w:val="18"/>
      <w:szCs w:val="18"/>
    </w:rPr>
  </w:style>
  <w:style w:type="paragraph" w:styleId="3">
    <w:name w:val="header"/>
    <w:basedOn w:val="1"/>
    <w:link w:val="11"/>
    <w:uiPriority w:val="0"/>
    <w:pPr>
      <w:tabs>
        <w:tab w:val="center" w:pos="4153"/>
        <w:tab w:val="right" w:pos="8306"/>
      </w:tabs>
      <w:snapToGrid w:val="0"/>
      <w:jc w:val="center"/>
    </w:pPr>
    <w:rPr>
      <w:sz w:val="18"/>
      <w:szCs w:val="18"/>
    </w:rPr>
  </w:style>
  <w:style w:type="table" w:styleId="5">
    <w:name w:val="Table Grid"/>
    <w:basedOn w:val="4"/>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font41"/>
    <w:basedOn w:val="6"/>
    <w:qFormat/>
    <w:uiPriority w:val="0"/>
    <w:rPr>
      <w:rFonts w:hint="eastAsia" w:ascii="宋体" w:hAnsi="宋体" w:eastAsia="宋体" w:cs="宋体"/>
      <w:color w:val="000000"/>
      <w:sz w:val="20"/>
      <w:szCs w:val="20"/>
      <w:u w:val="none"/>
    </w:rPr>
  </w:style>
  <w:style w:type="character" w:customStyle="1" w:styleId="8">
    <w:name w:val="font51"/>
    <w:basedOn w:val="6"/>
    <w:qFormat/>
    <w:uiPriority w:val="0"/>
    <w:rPr>
      <w:rFonts w:hint="eastAsia" w:ascii="宋体" w:hAnsi="宋体" w:eastAsia="宋体" w:cs="宋体"/>
      <w:color w:val="000000"/>
      <w:sz w:val="20"/>
      <w:szCs w:val="20"/>
      <w:u w:val="none"/>
      <w:vertAlign w:val="superscript"/>
    </w:rPr>
  </w:style>
  <w:style w:type="character" w:customStyle="1" w:styleId="9">
    <w:name w:val="font21"/>
    <w:basedOn w:val="6"/>
    <w:qFormat/>
    <w:uiPriority w:val="0"/>
    <w:rPr>
      <w:rFonts w:hint="eastAsia" w:ascii="宋体" w:hAnsi="宋体" w:eastAsia="宋体" w:cs="宋体"/>
      <w:b/>
      <w:bCs/>
      <w:color w:val="000000"/>
      <w:sz w:val="20"/>
      <w:szCs w:val="20"/>
      <w:u w:val="none"/>
    </w:rPr>
  </w:style>
  <w:style w:type="character" w:customStyle="1" w:styleId="10">
    <w:name w:val="font31"/>
    <w:basedOn w:val="6"/>
    <w:qFormat/>
    <w:uiPriority w:val="0"/>
    <w:rPr>
      <w:rFonts w:hint="eastAsia" w:ascii="宋体" w:hAnsi="宋体" w:eastAsia="宋体" w:cs="宋体"/>
      <w:b/>
      <w:bCs/>
      <w:color w:val="000000"/>
      <w:sz w:val="20"/>
      <w:szCs w:val="20"/>
      <w:u w:val="none"/>
      <w:vertAlign w:val="superscript"/>
    </w:rPr>
  </w:style>
  <w:style w:type="character" w:customStyle="1" w:styleId="11">
    <w:name w:val="页眉 字符"/>
    <w:basedOn w:val="6"/>
    <w:link w:val="3"/>
    <w:uiPriority w:val="0"/>
    <w:rPr>
      <w:rFonts w:asciiTheme="minorHAnsi" w:hAnsiTheme="minorHAnsi" w:eastAsiaTheme="minorEastAsia" w:cstheme="minorBidi"/>
      <w:kern w:val="2"/>
      <w:sz w:val="18"/>
      <w:szCs w:val="18"/>
    </w:rPr>
  </w:style>
  <w:style w:type="character" w:customStyle="1" w:styleId="12">
    <w:name w:val="页脚 字符"/>
    <w:basedOn w:val="6"/>
    <w:link w:val="2"/>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hart" Target="charts/chart1.xml"/><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F:\2023&#24180;&#33337;&#29992;&#29983;&#29289;&#29123;&#26009;&#27833;-&#26631;&#20934;&#30740;&#31350;&#20849;&#20139;&#36164;&#26009;\&#21488;&#26550;&#35797;&#39564;&#26679;&#21697;&#36136;&#37327;&#25351;&#26631;&#27979;&#35797;&#24773;&#20917;.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1" vertOverflow="ellipsis" vert="horz" wrap="square" anchor="ctr" anchorCtr="1"/>
        <a:lstStyle/>
        <a:p>
          <a:pPr>
            <a:defRPr lang="zh-CN" sz="1400" b="0" i="0" u="none" strike="noStrike" kern="1200" spc="0" baseline="0">
              <a:solidFill>
                <a:srgbClr val="595959">
                  <a:lumMod val="65000"/>
                  <a:lumOff val="35000"/>
                </a:srgbClr>
              </a:solidFill>
              <a:latin typeface="+mn-lt"/>
              <a:ea typeface="+mn-ea"/>
              <a:cs typeface="+mn-cs"/>
            </a:defRPr>
          </a:pPr>
        </a:p>
      </c:txPr>
    </c:title>
    <c:autoTitleDeleted val="0"/>
    <c:plotArea>
      <c:layout>
        <c:manualLayout>
          <c:layoutTarget val="inner"/>
          <c:xMode val="edge"/>
          <c:yMode val="edge"/>
          <c:x val="0.0763247973574551"/>
          <c:y val="0.180393700787402"/>
          <c:w val="0.810093832848447"/>
          <c:h val="0.654105059784194"/>
        </c:manualLayout>
      </c:layout>
      <c:scatterChart>
        <c:scatterStyle val="smoothMarker"/>
        <c:varyColors val="0"/>
        <c:ser>
          <c:idx val="0"/>
          <c:order val="0"/>
          <c:tx>
            <c:strRef>
              <c:f>'[台架试验样品质量指标测试情况.xlsx]比例-热值 碳含量关系'!$B$7</c:f>
              <c:strCache>
                <c:ptCount val="1"/>
                <c:pt idx="0">
                  <c:v>净热值，MJ/kg</c:v>
                </c:pt>
              </c:strCache>
            </c:strRef>
          </c:tx>
          <c:spPr>
            <a:ln w="19050" cap="rnd">
              <a:solidFill>
                <a:srgbClr val="92D050"/>
              </a:solidFill>
              <a:round/>
            </a:ln>
            <a:effectLst/>
          </c:spPr>
          <c:marker>
            <c:symbol val="circle"/>
            <c:size val="5"/>
            <c:spPr>
              <a:solidFill>
                <a:srgbClr val="4F81BD"/>
              </a:solidFill>
              <a:ln w="9525">
                <a:solidFill>
                  <a:srgbClr val="4F81BD"/>
                </a:solidFill>
              </a:ln>
              <a:effectLst/>
            </c:spPr>
          </c:marker>
          <c:dLbls>
            <c:delete val="1"/>
          </c:dLbls>
          <c:xVal>
            <c:numRef>
              <c:f>'[台架试验样品质量指标测试情况.xlsx]比例-热值 碳含量关系'!$D$6:$J$6</c:f>
              <c:numCache>
                <c:formatCode>0.00_);[Red]\(0.00\)</c:formatCode>
                <c:ptCount val="7"/>
                <c:pt idx="0">
                  <c:v>0</c:v>
                </c:pt>
                <c:pt idx="1">
                  <c:v>10.6694362006659</c:v>
                </c:pt>
                <c:pt idx="2">
                  <c:v>14.4228320613504</c:v>
                </c:pt>
                <c:pt idx="3">
                  <c:v>19.3204863944334</c:v>
                </c:pt>
                <c:pt idx="4">
                  <c:v>30.8524753515686</c:v>
                </c:pt>
                <c:pt idx="5">
                  <c:v>48.3966935933155</c:v>
                </c:pt>
                <c:pt idx="6">
                  <c:v>100</c:v>
                </c:pt>
              </c:numCache>
            </c:numRef>
          </c:xVal>
          <c:yVal>
            <c:numRef>
              <c:f>'[台架试验样品质量指标测试情况.xlsx]比例-热值 碳含量关系'!$D$7:$J$7</c:f>
              <c:numCache>
                <c:formatCode>0.00_);[Red]\(0.00\)</c:formatCode>
                <c:ptCount val="7"/>
                <c:pt idx="0">
                  <c:v>40.62</c:v>
                </c:pt>
                <c:pt idx="1">
                  <c:v>40.18</c:v>
                </c:pt>
                <c:pt idx="2">
                  <c:v>40.08</c:v>
                </c:pt>
                <c:pt idx="3">
                  <c:v>39.94</c:v>
                </c:pt>
                <c:pt idx="4">
                  <c:v>39.45</c:v>
                </c:pt>
                <c:pt idx="5">
                  <c:v>38.85</c:v>
                </c:pt>
                <c:pt idx="6">
                  <c:v>37.18</c:v>
                </c:pt>
              </c:numCache>
            </c:numRef>
          </c:yVal>
          <c:smooth val="1"/>
        </c:ser>
        <c:dLbls>
          <c:showLegendKey val="0"/>
          <c:showVal val="0"/>
          <c:showCatName val="0"/>
          <c:showSerName val="0"/>
          <c:showPercent val="0"/>
          <c:showBubbleSize val="0"/>
        </c:dLbls>
        <c:axId val="779964223"/>
        <c:axId val="779951423"/>
      </c:scatterChart>
      <c:valAx>
        <c:axId val="779964223"/>
        <c:scaling>
          <c:orientation val="minMax"/>
          <c:max val="100"/>
        </c:scaling>
        <c:delete val="0"/>
        <c:axPos val="b"/>
        <c:majorGridlines>
          <c:spPr>
            <a:ln w="9525" cap="flat" cmpd="sng" algn="ctr">
              <a:solidFill>
                <a:srgbClr val="D9D9D9">
                  <a:lumMod val="15000"/>
                  <a:lumOff val="85000"/>
                </a:srgbClr>
              </a:solidFill>
              <a:round/>
            </a:ln>
            <a:effectLst/>
          </c:spPr>
        </c:majorGridlines>
        <c:title>
          <c:tx>
            <c:rich>
              <a:bodyPr rot="0" spcFirstLastPara="1" vertOverflow="ellipsis" vert="horz" wrap="square" anchor="ctr" anchorCtr="1"/>
              <a:lstStyle/>
              <a:p>
                <a:pPr>
                  <a:defRPr lang="zh-CN" sz="1000" b="0" i="0" u="none" strike="noStrike" kern="1200" baseline="0">
                    <a:solidFill>
                      <a:srgbClr val="595959">
                        <a:lumMod val="65000"/>
                        <a:lumOff val="35000"/>
                      </a:srgbClr>
                    </a:solidFill>
                    <a:latin typeface="+mn-lt"/>
                    <a:ea typeface="+mn-ea"/>
                    <a:cs typeface="+mn-cs"/>
                  </a:defRPr>
                </a:pPr>
                <a:r>
                  <a:rPr lang="zh-CN" altLang="en-US" sz="1000" b="0" i="0" u="none" strike="noStrike" kern="1200" baseline="0">
                    <a:solidFill>
                      <a:sysClr val="windowText" lastClr="000000">
                        <a:lumMod val="65000"/>
                        <a:lumOff val="35000"/>
                      </a:sysClr>
                    </a:solidFill>
                  </a:rPr>
                  <a:t>生物柴油比例</a:t>
                </a:r>
                <a:endParaRPr lang="zh-CN" altLang="en-US" sz="1000" b="0" i="0" u="none" strike="noStrike" kern="1200" baseline="0">
                  <a:solidFill>
                    <a:sysClr val="windowText" lastClr="000000">
                      <a:lumMod val="65000"/>
                      <a:lumOff val="35000"/>
                    </a:sysClr>
                  </a:solidFill>
                </a:endParaRPr>
              </a:p>
            </c:rich>
          </c:tx>
          <c:layout>
            <c:manualLayout>
              <c:xMode val="edge"/>
              <c:yMode val="edge"/>
              <c:x val="0.874432069206508"/>
              <c:y val="0.92337962962963"/>
            </c:manualLayout>
          </c:layout>
          <c:overlay val="0"/>
          <c:spPr>
            <a:noFill/>
            <a:ln>
              <a:noFill/>
            </a:ln>
            <a:effectLst/>
          </c:spPr>
        </c:title>
        <c:numFmt formatCode="0.00_);[Red]\(0.00\)" sourceLinked="1"/>
        <c:majorTickMark val="none"/>
        <c:minorTickMark val="none"/>
        <c:tickLblPos val="nextTo"/>
        <c:spPr>
          <a:noFill/>
          <a:ln w="9525" cap="flat" cmpd="sng" algn="ctr">
            <a:solidFill>
              <a:srgbClr val="BFBFBF">
                <a:lumMod val="25000"/>
                <a:lumOff val="75000"/>
              </a:srgbClr>
            </a:solidFill>
            <a:round/>
          </a:ln>
          <a:effectLst/>
        </c:spPr>
        <c:txPr>
          <a:bodyPr rot="-60000000" spcFirstLastPara="1"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p>
        </c:txPr>
        <c:crossAx val="779951423"/>
        <c:crosses val="autoZero"/>
        <c:crossBetween val="midCat"/>
      </c:valAx>
      <c:valAx>
        <c:axId val="779951423"/>
        <c:scaling>
          <c:orientation val="minMax"/>
        </c:scaling>
        <c:delete val="0"/>
        <c:axPos val="l"/>
        <c:majorGridlines>
          <c:spPr>
            <a:ln w="9525" cap="flat" cmpd="sng" algn="ctr">
              <a:solidFill>
                <a:srgbClr val="D9D9D9">
                  <a:lumMod val="15000"/>
                  <a:lumOff val="85000"/>
                </a:srgbClr>
              </a:solidFill>
              <a:round/>
            </a:ln>
            <a:effectLst/>
          </c:spPr>
        </c:majorGridlines>
        <c:title>
          <c:tx>
            <c:rich>
              <a:bodyPr rot="0" spcFirstLastPara="1" vertOverflow="ellipsis" vert="horz" wrap="square" anchor="ctr" anchorCtr="1"/>
              <a:lstStyle/>
              <a:p>
                <a:pPr>
                  <a:defRPr lang="zh-CN" sz="1000" b="0" i="0" u="none" strike="noStrike" kern="1200" baseline="0">
                    <a:solidFill>
                      <a:srgbClr val="595959">
                        <a:lumMod val="65000"/>
                        <a:lumOff val="35000"/>
                      </a:srgbClr>
                    </a:solidFill>
                    <a:latin typeface="+mn-lt"/>
                    <a:ea typeface="+mn-ea"/>
                    <a:cs typeface="+mn-cs"/>
                  </a:defRPr>
                </a:pPr>
                <a:r>
                  <a:rPr lang="zh-CN" altLang="en-US"/>
                  <a:t>净热值</a:t>
                </a:r>
                <a:endParaRPr lang="zh-CN" altLang="en-US"/>
              </a:p>
            </c:rich>
          </c:tx>
          <c:layout>
            <c:manualLayout>
              <c:xMode val="edge"/>
              <c:yMode val="edge"/>
              <c:x val="0.00362523410639397"/>
              <c:y val="0.0432101195683873"/>
            </c:manualLayout>
          </c:layout>
          <c:overlay val="0"/>
          <c:spPr>
            <a:noFill/>
            <a:ln>
              <a:noFill/>
            </a:ln>
            <a:effectLst/>
          </c:spPr>
        </c:title>
        <c:numFmt formatCode="0.00_);[Red]\(0.00\)" sourceLinked="1"/>
        <c:majorTickMark val="none"/>
        <c:minorTickMark val="none"/>
        <c:tickLblPos val="nextTo"/>
        <c:spPr>
          <a:noFill/>
          <a:ln w="9525" cap="flat" cmpd="sng" algn="ctr">
            <a:solidFill>
              <a:srgbClr val="BFBFBF">
                <a:lumMod val="25000"/>
                <a:lumOff val="75000"/>
              </a:srgbClr>
            </a:solidFill>
            <a:round/>
          </a:ln>
          <a:effectLst/>
        </c:spPr>
        <c:txPr>
          <a:bodyPr rot="-60000000" spcFirstLastPara="1"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p>
        </c:txPr>
        <c:crossAx val="779964223"/>
        <c:crosses val="autoZero"/>
        <c:crossBetween val="midCat"/>
      </c:valAx>
      <c:spPr>
        <a:noFill/>
        <a:ln>
          <a:noFill/>
        </a:ln>
        <a:effectLst/>
      </c:spPr>
    </c:plotArea>
    <c:plotVisOnly val="1"/>
    <c:dispBlanksAs val="gap"/>
    <c:showDLblsOverMax val="0"/>
  </c:chart>
  <c:spPr>
    <a:solidFill>
      <a:srgbClr val="FFFFFF"/>
    </a:solidFill>
    <a:ln w="9525" cap="flat" cmpd="sng" algn="ctr">
      <a:solidFill>
        <a:srgbClr val="D9D9D9">
          <a:lumMod val="15000"/>
          <a:lumOff val="85000"/>
        </a:srgb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rgbClr val="4F81BD"/>
  <a:srgbClr val="C0504D"/>
  <a:srgbClr val="9BBB59"/>
  <a:srgbClr val="8064A2"/>
  <a:srgbClr val="4BACC6"/>
  <a:srgbClr val="F7964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rgbClr val="595959">
        <a:lumMod val="65000"/>
        <a:lumOff val="35000"/>
      </a:srgbClr>
    </cs:fontRef>
    <cs:defRPr sz="1000" kern="1200"/>
  </cs:axisTitle>
  <cs:categoryAxis>
    <cs:lnRef idx="0"/>
    <cs:fillRef idx="0"/>
    <cs:effectRef idx="0"/>
    <cs:fontRef idx="minor">
      <a:srgbClr val="595959">
        <a:lumMod val="65000"/>
        <a:lumOff val="35000"/>
      </a:srgbClr>
    </cs:fontRef>
    <cs:spPr>
      <a:ln w="9525" cap="flat" cmpd="sng" algn="ctr">
        <a:solidFill>
          <a:srgbClr val="BFBFBF">
            <a:lumMod val="25000"/>
            <a:lumOff val="75000"/>
          </a:srgbClr>
        </a:solidFill>
        <a:round/>
      </a:ln>
    </cs:spPr>
    <cs:defRPr sz="900" kern="1200"/>
  </cs:categoryAxis>
  <cs:chartArea mods="allowNoFillOverride allowNoLineOverride">
    <cs:lnRef idx="0"/>
    <cs:fillRef idx="0"/>
    <cs:effectRef idx="0"/>
    <cs:fontRef idx="minor">
      <a:srgbClr val="000000"/>
    </cs:fontRef>
    <cs:spPr>
      <a:solidFill>
        <a:srgbClr val="FFFFFF"/>
      </a:solidFill>
      <a:ln w="9525" cap="flat" cmpd="sng" algn="ctr">
        <a:solidFill>
          <a:srgbClr val="D9D9D9">
            <a:lumMod val="15000"/>
            <a:lumOff val="85000"/>
          </a:srgbClr>
        </a:solidFill>
        <a:round/>
      </a:ln>
    </cs:spPr>
    <cs:defRPr sz="1000" kern="1200"/>
  </cs:chartArea>
  <cs:dataLabel>
    <cs:lnRef idx="0"/>
    <cs:fillRef idx="0"/>
    <cs:effectRef idx="0"/>
    <cs:fontRef idx="minor">
      <a:srgbClr val="404040">
        <a:lumMod val="75000"/>
        <a:lumOff val="25000"/>
      </a:srgbClr>
    </cs:fontRef>
    <cs:defRPr sz="900" kern="1200"/>
  </cs:dataLabel>
  <cs:dataLabelCallout>
    <cs:lnRef idx="0"/>
    <cs:fillRef idx="0"/>
    <cs:effectRef idx="0"/>
    <cs:fontRef idx="minor">
      <a:srgbClr val="595959">
        <a:lumMod val="65000"/>
        <a:lumOff val="35000"/>
      </a:srgbClr>
    </cs:fontRef>
    <cs:spPr>
      <a:solidFill>
        <a:srgbClr val="FFFFFF"/>
      </a:solidFill>
      <a:ln>
        <a:solidFill>
          <a:srgbClr val="BFBFBF">
            <a:lumMod val="25000"/>
            <a:lumOff val="75000"/>
          </a:srgb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rgbClr val="000000"/>
    </cs:fontRef>
  </cs:dataPoint>
  <cs:dataPoint3D>
    <cs:lnRef idx="0"/>
    <cs:fillRef idx="1">
      <cs:styleClr val="auto"/>
    </cs:fillRef>
    <cs:effectRef idx="0"/>
    <cs:fontRef idx="minor">
      <a:srgbClr val="000000"/>
    </cs:fontRef>
  </cs:dataPoint3D>
  <cs:dataPointLine>
    <cs:lnRef idx="0">
      <cs:styleClr val="auto"/>
    </cs:lnRef>
    <cs:fillRef idx="1"/>
    <cs:effectRef idx="0"/>
    <cs:fontRef idx="minor">
      <a:srgbClr val="000000"/>
    </cs:fontRef>
    <cs:spPr>
      <a:ln w="19050" cap="rnd">
        <a:solidFill>
          <a:srgbClr val="FFFFFF"/>
        </a:solidFill>
        <a:round/>
      </a:ln>
    </cs:spPr>
  </cs:dataPointLine>
  <cs:dataPointMarker>
    <cs:lnRef idx="0">
      <cs:styleClr val="auto"/>
    </cs:lnRef>
    <cs:fillRef idx="1">
      <cs:styleClr val="auto"/>
    </cs:fillRef>
    <cs:effectRef idx="0"/>
    <cs:fontRef idx="minor">
      <a:srgbClr val="000000"/>
    </cs:fontRef>
    <cs:spPr>
      <a:ln w="9525">
        <a:solidFill>
          <a:srgbClr val="FFFFFF"/>
        </a:solidFill>
      </a:ln>
    </cs:spPr>
  </cs:dataPointMarker>
  <cs:dataPointMarkerLayout symbol="circle" size="5"/>
  <cs:dataPointWireframe>
    <cs:lnRef idx="0">
      <cs:styleClr val="auto"/>
    </cs:lnRef>
    <cs:fillRef idx="0"/>
    <cs:effectRef idx="0"/>
    <cs:fontRef idx="minor">
      <a:srgbClr val="000000"/>
    </cs:fontRef>
    <cs:spPr>
      <a:ln w="9525" cap="rnd">
        <a:solidFill>
          <a:srgbClr val="FFFFFF"/>
        </a:solidFill>
        <a:round/>
      </a:ln>
    </cs:spPr>
  </cs:dataPointWireframe>
  <cs:dataTable>
    <cs:lnRef idx="0"/>
    <cs:fillRef idx="0"/>
    <cs:effectRef idx="0"/>
    <cs:fontRef idx="minor">
      <a:srgbClr val="595959">
        <a:lumMod val="65000"/>
        <a:lumOff val="35000"/>
      </a:srgbClr>
    </cs:fontRef>
    <cs:spPr>
      <a:noFill/>
      <a:ln w="9525" cap="flat" cmpd="sng" algn="ctr">
        <a:solidFill>
          <a:srgbClr val="D9D9D9">
            <a:lumMod val="15000"/>
            <a:lumOff val="85000"/>
          </a:srgbClr>
        </a:solidFill>
        <a:round/>
      </a:ln>
    </cs:spPr>
    <cs:defRPr sz="900" kern="1200"/>
  </cs:dataTable>
  <cs:downBar>
    <cs:lnRef idx="0"/>
    <cs:fillRef idx="0"/>
    <cs:effectRef idx="0"/>
    <cs:fontRef idx="minor">
      <a:srgbClr val="000000"/>
    </cs:fontRef>
    <cs:spPr>
      <a:solidFill>
        <a:srgbClr val="404040">
          <a:lumMod val="75000"/>
          <a:lumOff val="25000"/>
        </a:srgbClr>
      </a:solidFill>
      <a:ln w="9525" cap="flat" cmpd="sng" algn="ctr">
        <a:solidFill>
          <a:srgbClr val="595959">
            <a:lumMod val="65000"/>
            <a:lumOff val="35000"/>
          </a:srgbClr>
        </a:solidFill>
        <a:round/>
      </a:ln>
    </cs:spPr>
  </cs:downBar>
  <cs:dropLine>
    <cs:lnRef idx="0"/>
    <cs:fillRef idx="0"/>
    <cs:effectRef idx="0"/>
    <cs:fontRef idx="minor">
      <a:srgbClr val="000000"/>
    </cs:fontRef>
    <cs:spPr>
      <a:ln w="9525" cap="flat" cmpd="sng" algn="ctr">
        <a:solidFill>
          <a:srgbClr val="A6A6A6">
            <a:lumMod val="35000"/>
            <a:lumOff val="65000"/>
          </a:srgbClr>
        </a:solidFill>
        <a:round/>
      </a:ln>
    </cs:spPr>
  </cs:dropLine>
  <cs:errorBar>
    <cs:lnRef idx="0"/>
    <cs:fillRef idx="0"/>
    <cs:effectRef idx="0"/>
    <cs:fontRef idx="minor">
      <a:srgbClr val="000000"/>
    </cs:fontRef>
    <cs:spPr>
      <a:ln w="9525" cap="flat" cmpd="sng" algn="ctr">
        <a:solidFill>
          <a:srgbClr val="595959">
            <a:lumMod val="65000"/>
            <a:lumOff val="35000"/>
          </a:srgbClr>
        </a:solidFill>
        <a:round/>
      </a:ln>
    </cs:spPr>
  </cs:errorBar>
  <cs:floor>
    <cs:lnRef idx="0"/>
    <cs:fillRef idx="0"/>
    <cs:effectRef idx="0"/>
    <cs:fontRef idx="minor">
      <a:srgbClr val="000000"/>
    </cs:fontRef>
    <cs:spPr>
      <a:noFill/>
      <a:ln>
        <a:noFill/>
      </a:ln>
    </cs:spPr>
  </cs:floor>
  <cs:gridlineMajor>
    <cs:lnRef idx="0"/>
    <cs:fillRef idx="0"/>
    <cs:effectRef idx="0"/>
    <cs:fontRef idx="minor">
      <a:srgbClr val="000000"/>
    </cs:fontRef>
    <cs:spPr>
      <a:ln w="9525" cap="flat" cmpd="sng" algn="ctr">
        <a:solidFill>
          <a:srgbClr val="D9D9D9">
            <a:lumMod val="15000"/>
            <a:lumOff val="85000"/>
          </a:srgbClr>
        </a:solidFill>
        <a:round/>
      </a:ln>
    </cs:spPr>
  </cs:gridlineMajor>
  <cs:gridlineMinor>
    <cs:lnRef idx="0"/>
    <cs:fillRef idx="0"/>
    <cs:effectRef idx="0"/>
    <cs:fontRef idx="minor">
      <a:srgbClr val="000000"/>
    </cs:fontRef>
    <cs:spPr>
      <a:ln w="9525" cap="flat" cmpd="sng" algn="ctr">
        <a:solidFill>
          <a:srgbClr val="F2F2F2">
            <a:lumMod val="5000"/>
            <a:lumOff val="95000"/>
          </a:srgbClr>
        </a:solidFill>
        <a:round/>
      </a:ln>
    </cs:spPr>
  </cs:gridlineMinor>
  <cs:hiLoLine>
    <cs:lnRef idx="0"/>
    <cs:fillRef idx="0"/>
    <cs:effectRef idx="0"/>
    <cs:fontRef idx="minor">
      <a:srgbClr val="000000"/>
    </cs:fontRef>
    <cs:spPr>
      <a:ln w="9525" cap="flat" cmpd="sng" algn="ctr">
        <a:solidFill>
          <a:srgbClr val="808080">
            <a:lumMod val="50000"/>
            <a:lumOff val="50000"/>
          </a:srgbClr>
        </a:solidFill>
        <a:round/>
      </a:ln>
    </cs:spPr>
  </cs:hiLoLine>
  <cs:leaderLine>
    <cs:lnRef idx="0"/>
    <cs:fillRef idx="0"/>
    <cs:effectRef idx="0"/>
    <cs:fontRef idx="minor">
      <a:srgbClr val="000000"/>
    </cs:fontRef>
    <cs:spPr>
      <a:ln w="9525" cap="flat" cmpd="sng" algn="ctr">
        <a:solidFill>
          <a:srgbClr val="A6A6A6">
            <a:lumMod val="35000"/>
            <a:lumOff val="65000"/>
          </a:srgbClr>
        </a:solidFill>
        <a:round/>
      </a:ln>
    </cs:spPr>
  </cs:leaderLine>
  <cs:legend>
    <cs:lnRef idx="0"/>
    <cs:fillRef idx="0"/>
    <cs:effectRef idx="0"/>
    <cs:fontRef idx="minor">
      <a:srgbClr val="595959">
        <a:lumMod val="65000"/>
        <a:lumOff val="35000"/>
      </a:srgbClr>
    </cs:fontRef>
    <cs:defRPr sz="900" kern="1200"/>
  </cs:legend>
  <cs:plotArea mods="allowNoFillOverride allowNoLineOverride">
    <cs:lnRef idx="0"/>
    <cs:fillRef idx="0"/>
    <cs:effectRef idx="0"/>
    <cs:fontRef idx="minor">
      <a:srgbClr val="000000"/>
    </cs:fontRef>
  </cs:plotArea>
  <cs:plotArea3D mods="allowNoFillOverride allowNoLineOverride">
    <cs:lnRef idx="0"/>
    <cs:fillRef idx="0"/>
    <cs:effectRef idx="0"/>
    <cs:fontRef idx="minor">
      <a:srgbClr val="000000"/>
    </cs:fontRef>
  </cs:plotArea3D>
  <cs:seriesAxis>
    <cs:lnRef idx="0"/>
    <cs:fillRef idx="0"/>
    <cs:effectRef idx="0"/>
    <cs:fontRef idx="minor">
      <a:srgbClr val="595959">
        <a:lumMod val="65000"/>
        <a:lumOff val="35000"/>
      </a:srgbClr>
    </cs:fontRef>
    <cs:defRPr sz="900" kern="1200"/>
  </cs:seriesAxis>
  <cs:seriesLine>
    <cs:lnRef idx="0"/>
    <cs:fillRef idx="0"/>
    <cs:effectRef idx="0"/>
    <cs:fontRef idx="minor">
      <a:srgbClr val="000000"/>
    </cs:fontRef>
    <cs:spPr>
      <a:ln w="9525" cap="flat" cmpd="sng" algn="ctr">
        <a:solidFill>
          <a:srgbClr val="A6A6A6">
            <a:lumMod val="35000"/>
            <a:lumOff val="65000"/>
          </a:srgbClr>
        </a:solidFill>
        <a:round/>
      </a:ln>
    </cs:spPr>
  </cs:seriesLine>
  <cs:title>
    <cs:lnRef idx="0"/>
    <cs:fillRef idx="0"/>
    <cs:effectRef idx="0"/>
    <cs:fontRef idx="minor">
      <a:srgbClr val="595959">
        <a:lumMod val="65000"/>
        <a:lumOff val="35000"/>
      </a:srgbClr>
    </cs:fontRef>
    <cs:defRPr sz="1400" b="0" kern="1200" spc="0" baseline="0"/>
  </cs:title>
  <cs:trendline>
    <cs:lnRef idx="0">
      <cs:styleClr val="auto"/>
    </cs:lnRef>
    <cs:fillRef idx="0"/>
    <cs:effectRef idx="0"/>
    <cs:fontRef idx="minor">
      <a:srgbClr val="000000"/>
    </cs:fontRef>
    <cs:spPr>
      <a:ln w="19050" cap="rnd">
        <a:solidFill>
          <a:srgbClr val="FFFFFF"/>
        </a:solidFill>
        <a:prstDash val="sysDot"/>
      </a:ln>
    </cs:spPr>
  </cs:trendline>
  <cs:trendlineLabel>
    <cs:lnRef idx="0"/>
    <cs:fillRef idx="0"/>
    <cs:effectRef idx="0"/>
    <cs:fontRef idx="minor">
      <a:srgbClr val="595959">
        <a:lumMod val="65000"/>
        <a:lumOff val="35000"/>
      </a:srgbClr>
    </cs:fontRef>
    <cs:defRPr sz="900" kern="1200"/>
  </cs:trendlineLabel>
  <cs:upBar>
    <cs:lnRef idx="0"/>
    <cs:fillRef idx="0"/>
    <cs:effectRef idx="0"/>
    <cs:fontRef idx="minor">
      <a:srgbClr val="000000"/>
    </cs:fontRef>
    <cs:spPr>
      <a:solidFill>
        <a:srgbClr val="FFFFFF"/>
      </a:solidFill>
      <a:ln w="9525" cap="flat" cmpd="sng" algn="ctr">
        <a:solidFill>
          <a:srgbClr val="595959">
            <a:lumMod val="65000"/>
            <a:lumOff val="35000"/>
          </a:srgbClr>
        </a:solidFill>
        <a:round/>
      </a:ln>
    </cs:spPr>
  </cs:upBar>
  <cs:valueAxis>
    <cs:lnRef idx="0"/>
    <cs:fillRef idx="0"/>
    <cs:effectRef idx="0"/>
    <cs:fontRef idx="minor">
      <a:srgbClr val="595959">
        <a:lumMod val="65000"/>
        <a:lumOff val="35000"/>
      </a:srgbClr>
    </cs:fontRef>
    <cs:spPr>
      <a:ln w="9525" cap="flat" cmpd="sng" algn="ctr">
        <a:solidFill>
          <a:srgbClr val="BFBFBF">
            <a:lumMod val="25000"/>
            <a:lumOff val="75000"/>
          </a:srgbClr>
        </a:solidFill>
        <a:round/>
      </a:ln>
    </cs:spPr>
    <cs:defRPr sz="900" kern="1200"/>
  </cs:valueAxis>
  <cs:wall>
    <cs:lnRef idx="0"/>
    <cs:fillRef idx="0"/>
    <cs:effectRef idx="0"/>
    <cs:fontRef idx="minor">
      <a:srgbClr val="000000"/>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38</Pages>
  <Words>17709</Words>
  <Characters>24259</Characters>
  <Lines>200</Lines>
  <Paragraphs>56</Paragraphs>
  <TotalTime>0</TotalTime>
  <ScaleCrop>false</ScaleCrop>
  <LinksUpToDate>false</LinksUpToDate>
  <CharactersWithSpaces>25295</CharactersWithSpaces>
  <Application>WPS Office_12.1.0.16910_F1E327BC-269C-435d-A152-05C5408002CA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2024-04-10T04:16:00Z</dcterms:created>
  <dc:creator>lenovo</dc:creator>
  <cp:lastModifiedBy>天平联盟</cp:lastModifiedBy>
  <dcterms:modified xsi:type="dcterms:W3CDTF">2024-05-10T08:08:41Z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2052-12.1.0.16910</vt:lpwstr>
  </property>
  <property fmtid="{D5CDD505-2E9C-101B-9397-08002B2CF9AE}" pid="3" name="ICV">
    <vt:lpwstr>BC5C9FA82581424C821283CBCE878F99</vt:lpwstr>
  </property>
</Properties>
</file>