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t>ICS 03.080.99</w:t>
      </w:r>
    </w:p>
    <w:p>
      <w:pPr>
        <w:pStyle w:val="7"/>
        <w:spacing w:line="240" w:lineRule="atLeast"/>
        <w:rPr>
          <w:szCs w:val="22"/>
        </w:rPr>
      </w:pPr>
      <w:r>
        <w:rPr>
          <w:szCs w:val="22"/>
        </w:rPr>
        <w:t>A 00/09</w:t>
      </w:r>
    </w:p>
    <w:p>
      <w:pPr>
        <w:rPr>
          <w:rFonts w:ascii="黑体" w:hAnsi="黑体" w:eastAsia="黑体"/>
          <w:sz w:val="72"/>
          <w:szCs w:val="72"/>
        </w:rPr>
      </w:pPr>
    </w:p>
    <w:p>
      <w:pPr>
        <w:jc w:val="center"/>
        <w:rPr>
          <w:rFonts w:ascii="黑体" w:hAnsi="黑体" w:eastAsia="黑体"/>
          <w:sz w:val="84"/>
          <w:szCs w:val="84"/>
        </w:rPr>
      </w:pPr>
      <w:r>
        <w:rPr>
          <w:rFonts w:hint="eastAsia" w:ascii="黑体" w:hAnsi="黑体" w:eastAsia="黑体"/>
          <w:sz w:val="84"/>
          <w:szCs w:val="84"/>
        </w:rPr>
        <w:t>团   体   标   准</w:t>
      </w:r>
    </w:p>
    <w:p>
      <w:pPr>
        <w:pStyle w:val="8"/>
        <w:spacing w:before="0"/>
        <w:ind w:right="26"/>
        <w:rPr>
          <w:rFonts w:ascii="黑体" w:eastAsia="黑体"/>
        </w:rPr>
      </w:pPr>
      <w: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327025</wp:posOffset>
                </wp:positionV>
                <wp:extent cx="5892800" cy="0"/>
                <wp:effectExtent l="0" t="0" r="0" b="0"/>
                <wp:wrapNone/>
                <wp:docPr id="2" name="自选图形 21"/>
                <wp:cNvGraphicFramePr/>
                <a:graphic xmlns:a="http://schemas.openxmlformats.org/drawingml/2006/main">
                  <a:graphicData uri="http://schemas.microsoft.com/office/word/2010/wordprocessingShape">
                    <wps:wsp>
                      <wps:cNvCnPr>
                        <a:cxnSpLocks noChangeShapeType="1"/>
                      </wps:cNvCnPr>
                      <wps:spPr bwMode="auto">
                        <a:xfrm>
                          <a:off x="0" y="0"/>
                          <a:ext cx="5892800" cy="0"/>
                        </a:xfrm>
                        <a:prstGeom prst="straightConnector1">
                          <a:avLst/>
                        </a:prstGeom>
                        <a:noFill/>
                        <a:ln w="9525">
                          <a:solidFill>
                            <a:srgbClr val="000000"/>
                          </a:solidFill>
                          <a:round/>
                        </a:ln>
                      </wps:spPr>
                      <wps:bodyPr/>
                    </wps:wsp>
                  </a:graphicData>
                </a:graphic>
              </wp:anchor>
            </w:drawing>
          </mc:Choice>
          <mc:Fallback>
            <w:pict>
              <v:shape id="自选图形 21" o:spid="_x0000_s1026" o:spt="32" type="#_x0000_t32" style="position:absolute;left:0pt;margin-left:3.75pt;margin-top:25.75pt;height:0pt;width:464pt;z-index:251659264;mso-width-relative:page;mso-height-relative:page;" filled="f" stroked="t" coordsize="21600,21600" o:gfxdata="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uEDT7U&#10;AAAABwEAAA8AAAAAAAAAAQAgAAAAIgAAAGRycy9kb3ducmV2LnhtbFBLAQIUABQAAAAIAIdO4kBo&#10;8nKL6wEAALYDAAAOAAAAAAAAAAEAIAAAACMBAABkcnMvZTJvRG9jLnhtbFBLBQYAAAAABgAGAFkB&#10;AACABQAAAAA=&#10;">
                <v:fill on="f" focussize="0,0"/>
                <v:stroke color="#000000" joinstyle="round"/>
                <v:imagedata o:title=""/>
                <o:lock v:ext="edit" aspectratio="f"/>
              </v:shape>
            </w:pict>
          </mc:Fallback>
        </mc:AlternateContent>
      </w:r>
      <w:r>
        <w:rPr>
          <w:rFonts w:eastAsia="黑体"/>
        </w:rPr>
        <w:t>T/CIQA</w:t>
      </w:r>
      <w:r>
        <w:rPr>
          <w:rFonts w:hint="eastAsia" w:ascii="黑体" w:eastAsia="黑体"/>
        </w:rPr>
        <w:t>x-xxxx</w:t>
      </w:r>
    </w:p>
    <w:p>
      <w:pPr>
        <w:jc w:val="center"/>
        <w:rPr>
          <w:rFonts w:ascii="黑体" w:hAnsi="黑体" w:eastAsia="黑体"/>
          <w:sz w:val="72"/>
          <w:szCs w:val="72"/>
        </w:rPr>
      </w:pPr>
    </w:p>
    <w:p>
      <w:pPr>
        <w:rPr>
          <w:rFonts w:ascii="黑体" w:hAnsi="黑体" w:eastAsia="黑体"/>
          <w:sz w:val="72"/>
          <w:szCs w:val="72"/>
        </w:rPr>
      </w:pPr>
    </w:p>
    <w:p>
      <w:pPr>
        <w:pStyle w:val="9"/>
        <w:spacing w:line="360" w:lineRule="auto"/>
      </w:pPr>
      <w:bookmarkStart w:id="0" w:name="_Toc24171_WPSOffice_Level2"/>
      <w:r>
        <w:rPr>
          <w:rFonts w:hint="eastAsia"/>
        </w:rPr>
        <w:t>乳及乳制品中霉菌和酵母快速测定</w:t>
      </w:r>
    </w:p>
    <w:p>
      <w:pPr>
        <w:pStyle w:val="9"/>
        <w:spacing w:line="360" w:lineRule="auto"/>
        <w:rPr>
          <w:rFonts w:ascii="Times New Roman"/>
          <w:szCs w:val="52"/>
        </w:rPr>
      </w:pPr>
      <w:r>
        <w:rPr>
          <w:rFonts w:hint="eastAsia"/>
        </w:rPr>
        <w:t>实时光电法</w:t>
      </w:r>
      <w:bookmarkEnd w:id="0"/>
    </w:p>
    <w:p>
      <w:pPr>
        <w:pStyle w:val="9"/>
        <w:snapToGrid w:val="0"/>
        <w:spacing w:line="360" w:lineRule="auto"/>
        <w:rPr>
          <w:rFonts w:ascii="Times New Roman"/>
          <w:sz w:val="28"/>
          <w:szCs w:val="28"/>
        </w:rPr>
      </w:pPr>
      <w:bookmarkStart w:id="1" w:name="_Toc21777_WPSOffice_Level2"/>
      <w:r>
        <w:rPr>
          <w:rFonts w:hint="eastAsia" w:ascii="Times New Roman"/>
          <w:sz w:val="28"/>
          <w:szCs w:val="28"/>
        </w:rPr>
        <w:t>Rapid</w:t>
      </w:r>
      <w:r>
        <w:rPr>
          <w:rFonts w:ascii="Times New Roman"/>
          <w:sz w:val="28"/>
          <w:szCs w:val="28"/>
        </w:rPr>
        <w:t xml:space="preserve"> </w:t>
      </w:r>
      <w:r>
        <w:rPr>
          <w:rFonts w:hint="eastAsia" w:ascii="Times New Roman"/>
          <w:sz w:val="28"/>
          <w:szCs w:val="28"/>
        </w:rPr>
        <w:t>detection</w:t>
      </w:r>
      <w:r>
        <w:rPr>
          <w:rFonts w:ascii="Times New Roman"/>
          <w:sz w:val="28"/>
          <w:szCs w:val="28"/>
        </w:rPr>
        <w:t xml:space="preserve"> </w:t>
      </w:r>
      <w:r>
        <w:rPr>
          <w:rFonts w:hint="eastAsia" w:ascii="Times New Roman"/>
          <w:sz w:val="28"/>
          <w:szCs w:val="28"/>
        </w:rPr>
        <w:t>of</w:t>
      </w:r>
      <w:r>
        <w:rPr>
          <w:rFonts w:ascii="Times New Roman"/>
          <w:sz w:val="28"/>
          <w:szCs w:val="28"/>
        </w:rPr>
        <w:t xml:space="preserve"> </w:t>
      </w:r>
      <w:r>
        <w:rPr>
          <w:rFonts w:hint="eastAsia" w:ascii="Times New Roman"/>
          <w:sz w:val="28"/>
          <w:szCs w:val="28"/>
        </w:rPr>
        <w:t>moulds</w:t>
      </w:r>
      <w:r>
        <w:rPr>
          <w:rFonts w:ascii="Times New Roman"/>
          <w:sz w:val="28"/>
          <w:szCs w:val="28"/>
        </w:rPr>
        <w:t xml:space="preserve"> </w:t>
      </w:r>
      <w:r>
        <w:rPr>
          <w:rFonts w:hint="eastAsia" w:ascii="Times New Roman"/>
          <w:sz w:val="28"/>
          <w:szCs w:val="28"/>
        </w:rPr>
        <w:t>and</w:t>
      </w:r>
      <w:r>
        <w:rPr>
          <w:rFonts w:ascii="Times New Roman"/>
          <w:sz w:val="28"/>
          <w:szCs w:val="28"/>
        </w:rPr>
        <w:t xml:space="preserve"> </w:t>
      </w:r>
      <w:r>
        <w:rPr>
          <w:rFonts w:hint="eastAsia" w:ascii="Times New Roman"/>
          <w:sz w:val="28"/>
          <w:szCs w:val="28"/>
        </w:rPr>
        <w:t>yeasts</w:t>
      </w:r>
      <w:r>
        <w:rPr>
          <w:rFonts w:ascii="Times New Roman"/>
          <w:sz w:val="28"/>
          <w:szCs w:val="28"/>
        </w:rPr>
        <w:t xml:space="preserve"> </w:t>
      </w:r>
      <w:r>
        <w:rPr>
          <w:rFonts w:hint="eastAsia" w:ascii="Times New Roman"/>
          <w:sz w:val="28"/>
          <w:szCs w:val="28"/>
        </w:rPr>
        <w:t>in</w:t>
      </w:r>
      <w:r>
        <w:rPr>
          <w:rFonts w:ascii="Times New Roman"/>
          <w:sz w:val="28"/>
          <w:szCs w:val="28"/>
        </w:rPr>
        <w:t xml:space="preserve"> </w:t>
      </w:r>
      <w:r>
        <w:rPr>
          <w:rFonts w:hint="eastAsia" w:ascii="Times New Roman"/>
          <w:sz w:val="28"/>
          <w:szCs w:val="28"/>
        </w:rPr>
        <w:t>milk</w:t>
      </w:r>
      <w:r>
        <w:rPr>
          <w:rFonts w:ascii="Times New Roman"/>
          <w:sz w:val="28"/>
          <w:szCs w:val="28"/>
        </w:rPr>
        <w:t xml:space="preserve"> and milk </w:t>
      </w:r>
      <w:r>
        <w:rPr>
          <w:rFonts w:hint="eastAsia" w:ascii="Times New Roman"/>
          <w:sz w:val="28"/>
          <w:szCs w:val="28"/>
        </w:rPr>
        <w:t>products</w:t>
      </w:r>
    </w:p>
    <w:p>
      <w:pPr>
        <w:pStyle w:val="9"/>
        <w:snapToGrid w:val="0"/>
        <w:spacing w:line="360" w:lineRule="auto"/>
        <w:rPr>
          <w:rFonts w:ascii="Times New Roman"/>
          <w:sz w:val="28"/>
          <w:szCs w:val="28"/>
        </w:rPr>
      </w:pPr>
      <w:r>
        <w:rPr>
          <w:rFonts w:hint="eastAsia" w:ascii="Times New Roman"/>
          <w:sz w:val="28"/>
          <w:szCs w:val="28"/>
        </w:rPr>
        <w:t>Real-time</w:t>
      </w:r>
      <w:r>
        <w:rPr>
          <w:rFonts w:ascii="Times New Roman"/>
          <w:sz w:val="28"/>
          <w:szCs w:val="28"/>
        </w:rPr>
        <w:t xml:space="preserve"> optical sensing with electronic records</w:t>
      </w:r>
      <w:bookmarkEnd w:id="1"/>
    </w:p>
    <w:p>
      <w:pPr>
        <w:pStyle w:val="9"/>
        <w:snapToGrid w:val="0"/>
        <w:spacing w:line="360" w:lineRule="auto"/>
        <w:rPr>
          <w:rFonts w:ascii="Times New Roman"/>
          <w:sz w:val="28"/>
          <w:szCs w:val="28"/>
        </w:rPr>
      </w:pPr>
    </w:p>
    <w:p>
      <w:pPr>
        <w:pStyle w:val="9"/>
        <w:snapToGrid w:val="0"/>
        <w:spacing w:line="360" w:lineRule="auto"/>
        <w:rPr>
          <w:rFonts w:ascii="Times New Roman" w:eastAsia="宋体"/>
          <w:sz w:val="28"/>
          <w:szCs w:val="28"/>
        </w:rPr>
      </w:pPr>
      <w:bookmarkStart w:id="2" w:name="_Toc2387_WPSOffice_Level2"/>
      <w:r>
        <w:rPr>
          <w:rFonts w:ascii="Times New Roman" w:eastAsia="宋体"/>
          <w:sz w:val="28"/>
          <w:szCs w:val="28"/>
        </w:rPr>
        <w:t>（征求意见稿）</w:t>
      </w:r>
      <w:bookmarkEnd w:id="2"/>
    </w:p>
    <w:p>
      <w:pPr>
        <w:pStyle w:val="10"/>
        <w:rPr>
          <w:rFonts w:ascii="黑体" w:hAnsi="黑体"/>
          <w:sz w:val="21"/>
          <w:szCs w:val="21"/>
        </w:rPr>
      </w:pPr>
    </w:p>
    <w:p>
      <w:pPr>
        <w:pStyle w:val="11"/>
        <w:rPr>
          <w:rFonts w:ascii="黑体" w:hAnsi="黑体"/>
        </w:rPr>
      </w:pPr>
    </w:p>
    <w:p>
      <w:pPr>
        <w:pStyle w:val="12"/>
        <w:jc w:val="left"/>
        <w:rPr>
          <w:rFonts w:hAnsi="黑体"/>
          <w:spacing w:val="0"/>
          <w:w w:val="100"/>
          <w:sz w:val="28"/>
        </w:rPr>
      </w:pPr>
    </w:p>
    <w:p>
      <w:pPr>
        <w:pStyle w:val="12"/>
        <w:jc w:val="left"/>
        <w:rPr>
          <w:rFonts w:hAnsi="黑体"/>
          <w:spacing w:val="0"/>
          <w:w w:val="100"/>
          <w:sz w:val="28"/>
        </w:rPr>
      </w:pPr>
    </w:p>
    <w:p>
      <w:pPr>
        <w:pStyle w:val="12"/>
        <w:jc w:val="left"/>
        <w:rPr>
          <w:rFonts w:ascii="仿宋" w:hAnsi="仿宋" w:eastAsia="仿宋"/>
          <w:position w:val="-6"/>
          <w:sz w:val="21"/>
          <w:szCs w:val="21"/>
        </w:rPr>
      </w:pPr>
    </w:p>
    <w:p>
      <w:pPr>
        <w:pStyle w:val="12"/>
        <w:jc w:val="left"/>
        <w:rPr>
          <w:rFonts w:ascii="仿宋" w:hAnsi="仿宋" w:eastAsia="仿宋"/>
          <w:position w:val="-6"/>
          <w:sz w:val="21"/>
          <w:szCs w:val="21"/>
        </w:rPr>
      </w:pPr>
    </w:p>
    <w:p>
      <w:pPr>
        <w:pStyle w:val="12"/>
        <w:jc w:val="left"/>
        <w:rPr>
          <w:rFonts w:ascii="仿宋" w:hAnsi="仿宋" w:eastAsia="仿宋"/>
          <w:position w:val="-6"/>
          <w:sz w:val="21"/>
          <w:szCs w:val="21"/>
        </w:rPr>
      </w:pPr>
    </w:p>
    <w:p>
      <w:pPr>
        <w:pStyle w:val="12"/>
        <w:ind w:firstLine="323" w:firstLineChars="100"/>
        <w:jc w:val="left"/>
        <w:rPr>
          <w:rFonts w:hAnsi="黑体"/>
          <w:spacing w:val="0"/>
          <w:w w:val="100"/>
          <w:position w:val="-6"/>
          <w:sz w:val="22"/>
          <w:szCs w:val="21"/>
        </w:rPr>
      </w:pPr>
      <w:r>
        <w:rPr>
          <w:rFonts w:hint="eastAsia" w:ascii="仿宋" w:hAnsi="仿宋" w:eastAsia="仿宋"/>
          <w:position w:val="-6"/>
          <w:sz w:val="21"/>
          <w:szCs w:val="21"/>
          <w:lang w:val="en-US" w:eastAsia="zh-CN"/>
        </w:rPr>
        <w:t>2021</w:t>
      </w:r>
      <w:r>
        <w:rPr>
          <w:rFonts w:hint="eastAsia" w:ascii="仿宋" w:hAnsi="仿宋" w:eastAsia="仿宋"/>
          <w:position w:val="-6"/>
          <w:sz w:val="21"/>
          <w:szCs w:val="21"/>
        </w:rPr>
        <w:t>-</w:t>
      </w:r>
      <w:r>
        <w:rPr>
          <w:rFonts w:hint="eastAsia" w:ascii="仿宋" w:hAnsi="仿宋" w:eastAsia="仿宋"/>
          <w:position w:val="-6"/>
          <w:sz w:val="21"/>
          <w:szCs w:val="21"/>
          <w:lang w:val="en-US" w:eastAsia="zh-CN"/>
        </w:rPr>
        <w:t>11</w:t>
      </w:r>
      <w:r>
        <w:rPr>
          <w:rFonts w:hint="eastAsia" w:ascii="仿宋" w:hAnsi="仿宋" w:eastAsia="仿宋"/>
          <w:position w:val="-6"/>
          <w:sz w:val="21"/>
          <w:szCs w:val="21"/>
        </w:rPr>
        <w:t>-</w:t>
      </w:r>
      <w:r>
        <w:rPr>
          <w:rFonts w:hint="eastAsia" w:ascii="仿宋" w:hAnsi="仿宋" w:eastAsia="仿宋"/>
          <w:position w:val="-6"/>
          <w:sz w:val="21"/>
          <w:szCs w:val="21"/>
          <w:lang w:val="en-US" w:eastAsia="zh-CN"/>
        </w:rPr>
        <w:t>01</w:t>
      </w:r>
      <w:r>
        <w:rPr>
          <w:rFonts w:hint="eastAsia" w:hAnsi="黑体"/>
          <w:spacing w:val="0"/>
          <w:w w:val="100"/>
          <w:position w:val="-6"/>
          <w:sz w:val="22"/>
          <w:szCs w:val="21"/>
        </w:rPr>
        <w:t>发布</w:t>
      </w:r>
      <w:r>
        <w:rPr>
          <w:rFonts w:hint="eastAsia" w:hAnsi="黑体"/>
          <w:sz w:val="21"/>
          <w:szCs w:val="21"/>
        </w:rPr>
        <w:t xml:space="preserve">                       </w:t>
      </w:r>
      <w:r>
        <w:rPr>
          <w:rFonts w:hint="eastAsia" w:ascii="仿宋" w:hAnsi="仿宋" w:eastAsia="仿宋"/>
          <w:position w:val="-6"/>
          <w:sz w:val="21"/>
          <w:szCs w:val="21"/>
          <w:lang w:val="en-US" w:eastAsia="zh-CN"/>
        </w:rPr>
        <w:t>2021</w:t>
      </w:r>
      <w:r>
        <w:rPr>
          <w:rFonts w:hint="eastAsia" w:ascii="仿宋" w:hAnsi="仿宋" w:eastAsia="仿宋"/>
          <w:position w:val="-6"/>
          <w:sz w:val="21"/>
          <w:szCs w:val="21"/>
        </w:rPr>
        <w:t>-</w:t>
      </w:r>
      <w:r>
        <w:rPr>
          <w:rFonts w:hint="eastAsia" w:ascii="仿宋" w:hAnsi="仿宋" w:eastAsia="仿宋"/>
          <w:position w:val="-6"/>
          <w:sz w:val="21"/>
          <w:szCs w:val="21"/>
          <w:lang w:val="en-US" w:eastAsia="zh-CN"/>
        </w:rPr>
        <w:t>11</w:t>
      </w:r>
      <w:r>
        <w:rPr>
          <w:rFonts w:hint="eastAsia" w:ascii="仿宋" w:hAnsi="仿宋" w:eastAsia="仿宋"/>
          <w:position w:val="-6"/>
          <w:sz w:val="21"/>
          <w:szCs w:val="21"/>
        </w:rPr>
        <w:t>-</w:t>
      </w:r>
      <w:r>
        <w:rPr>
          <w:rFonts w:hint="eastAsia" w:ascii="仿宋" w:hAnsi="仿宋" w:eastAsia="仿宋"/>
          <w:position w:val="-6"/>
          <w:sz w:val="21"/>
          <w:szCs w:val="21"/>
          <w:lang w:val="en-US" w:eastAsia="zh-CN"/>
        </w:rPr>
        <w:t>15</w:t>
      </w:r>
      <w:r>
        <w:rPr>
          <w:rFonts w:hint="eastAsia" w:hAnsi="黑体"/>
          <w:spacing w:val="0"/>
          <w:w w:val="100"/>
          <w:position w:val="-6"/>
          <w:sz w:val="22"/>
          <w:szCs w:val="21"/>
        </w:rPr>
        <w:t>实施</w:t>
      </w:r>
    </w:p>
    <w:p>
      <w:pPr>
        <w:pStyle w:val="10"/>
        <w:rPr>
          <w:rFonts w:ascii="仿宋" w:hAnsi="仿宋" w:eastAsia="仿宋"/>
          <w:sz w:val="21"/>
          <w:szCs w:val="21"/>
        </w:rPr>
      </w:pPr>
      <w:r>
        <mc:AlternateContent>
          <mc:Choice Requires="wps">
            <w:drawing>
              <wp:anchor distT="0" distB="0" distL="114300" distR="114300" simplePos="0" relativeHeight="251660288" behindDoc="0" locked="0" layoutInCell="1" allowOverlap="1">
                <wp:simplePos x="0" y="0"/>
                <wp:positionH relativeFrom="column">
                  <wp:posOffset>172720</wp:posOffset>
                </wp:positionH>
                <wp:positionV relativeFrom="paragraph">
                  <wp:posOffset>11430</wp:posOffset>
                </wp:positionV>
                <wp:extent cx="5400675" cy="0"/>
                <wp:effectExtent l="0" t="0" r="0" b="0"/>
                <wp:wrapNone/>
                <wp:docPr id="1" name="自选图形 22"/>
                <wp:cNvGraphicFramePr/>
                <a:graphic xmlns:a="http://schemas.openxmlformats.org/drawingml/2006/main">
                  <a:graphicData uri="http://schemas.microsoft.com/office/word/2010/wordprocessingShape">
                    <wps:wsp>
                      <wps:cNvCnPr>
                        <a:cxnSpLocks noChangeShapeType="1"/>
                      </wps:cNvCnPr>
                      <wps:spPr bwMode="auto">
                        <a:xfrm>
                          <a:off x="0" y="0"/>
                          <a:ext cx="5400675" cy="0"/>
                        </a:xfrm>
                        <a:prstGeom prst="straightConnector1">
                          <a:avLst/>
                        </a:prstGeom>
                        <a:noFill/>
                        <a:ln w="9525">
                          <a:solidFill>
                            <a:srgbClr val="000000"/>
                          </a:solidFill>
                          <a:round/>
                        </a:ln>
                      </wps:spPr>
                      <wps:bodyPr/>
                    </wps:wsp>
                  </a:graphicData>
                </a:graphic>
              </wp:anchor>
            </w:drawing>
          </mc:Choice>
          <mc:Fallback>
            <w:pict>
              <v:shape id="自选图形 22" o:spid="_x0000_s1026" o:spt="32" type="#_x0000_t32" style="position:absolute;left:0pt;margin-left:13.6pt;margin-top:0.9pt;height:0pt;width:425.25pt;z-index:251660288;mso-width-relative:page;mso-height-relative:page;" filled="f" stroked="t" coordsize="21600,21600" o:gfxdata="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k/wNR&#10;1AAAAAYBAAAPAAAAAAAAAAEAIAAAACIAAABkcnMvZG93bnJldi54bWxQSwECFAAUAAAACACHTuJA&#10;srKTm+wBAAC2AwAADgAAAAAAAAABACAAAAAjAQAAZHJzL2Uyb0RvYy54bWxQSwUGAAAAAAYABgBZ&#10;AQAAgQUAAAAA&#10;">
                <v:fill on="f" focussize="0,0"/>
                <v:stroke color="#000000" joinstyle="round"/>
                <v:imagedata o:title=""/>
                <o:lock v:ext="edit" aspectratio="f"/>
              </v:shape>
            </w:pict>
          </mc:Fallback>
        </mc:AlternateContent>
      </w:r>
    </w:p>
    <w:p>
      <w:pPr>
        <w:ind w:firstLine="640" w:firstLineChars="200"/>
        <w:rPr>
          <w:rFonts w:ascii="黑体" w:hAnsi="黑体" w:eastAsia="黑体"/>
          <w:sz w:val="28"/>
          <w:szCs w:val="32"/>
        </w:rPr>
      </w:pPr>
      <w:r>
        <w:rPr>
          <w:rFonts w:hint="eastAsia" w:ascii="仿宋" w:hAnsi="仿宋" w:eastAsia="仿宋"/>
          <w:sz w:val="32"/>
          <w:szCs w:val="32"/>
        </w:rPr>
        <w:t xml:space="preserve">           中国出入境检验检疫协会 </w:t>
      </w:r>
      <w:r>
        <w:rPr>
          <w:rFonts w:hint="eastAsia" w:ascii="黑体" w:hAnsi="黑体" w:eastAsia="黑体"/>
          <w:sz w:val="28"/>
          <w:szCs w:val="32"/>
        </w:rPr>
        <w:t>发布</w:t>
      </w:r>
    </w:p>
    <w:p>
      <w:pPr>
        <w:pStyle w:val="7"/>
        <w:spacing w:before="156" w:beforeLines="50" w:after="156" w:afterLines="50"/>
        <w:jc w:val="right"/>
        <w:rPr>
          <w:rFonts w:ascii="黑体" w:hAnsi="黑体" w:cs="黑体"/>
          <w:color w:val="000000"/>
          <w:szCs w:val="21"/>
        </w:rPr>
      </w:pPr>
    </w:p>
    <w:p>
      <w:pPr>
        <w:pStyle w:val="7"/>
        <w:spacing w:before="156" w:beforeLines="50" w:after="156" w:afterLines="50"/>
        <w:jc w:val="right"/>
        <w:rPr>
          <w:rFonts w:ascii="黑体" w:hAnsi="黑体" w:cs="黑体"/>
          <w:color w:val="000000"/>
          <w:szCs w:val="21"/>
        </w:rPr>
      </w:pPr>
    </w:p>
    <w:p>
      <w:pPr>
        <w:pStyle w:val="13"/>
        <w:spacing w:before="156" w:beforeLines="50" w:after="156" w:afterLines="50"/>
        <w:ind w:firstLine="0" w:firstLineChars="0"/>
        <w:rPr>
          <w:b/>
          <w:sz w:val="28"/>
          <w:szCs w:val="28"/>
        </w:rPr>
        <w:sectPr>
          <w:headerReference r:id="rId4" w:type="first"/>
          <w:footerReference r:id="rId5" w:type="default"/>
          <w:headerReference r:id="rId3" w:type="even"/>
          <w:footerReference r:id="rId6" w:type="even"/>
          <w:pgSz w:w="11906" w:h="16838"/>
          <w:pgMar w:top="1418" w:right="1134" w:bottom="1134" w:left="1418" w:header="851" w:footer="992" w:gutter="0"/>
          <w:pgNumType w:fmt="decimal" w:start="1" w:chapStyle="1"/>
          <w:cols w:space="720" w:num="1"/>
          <w:docGrid w:type="lines" w:linePitch="312" w:charSpace="0"/>
        </w:sectPr>
      </w:pPr>
    </w:p>
    <w:p>
      <w:pPr>
        <w:pStyle w:val="13"/>
        <w:spacing w:before="156" w:beforeLines="50" w:after="156" w:afterLines="50"/>
        <w:ind w:firstLine="0" w:firstLineChars="0"/>
        <w:rPr>
          <w:rFonts w:ascii="黑体" w:hAnsi="黑体" w:eastAsia="黑体"/>
          <w:b/>
          <w:sz w:val="32"/>
          <w:szCs w:val="32"/>
        </w:rPr>
      </w:pPr>
    </w:p>
    <w:p>
      <w:pPr>
        <w:pStyle w:val="13"/>
        <w:spacing w:before="156" w:beforeLines="50" w:after="156" w:afterLines="50"/>
        <w:ind w:firstLine="0" w:firstLineChars="0"/>
        <w:jc w:val="center"/>
        <w:rPr>
          <w:rFonts w:ascii="黑体" w:hAnsi="黑体" w:eastAsia="黑体"/>
          <w:b/>
          <w:sz w:val="32"/>
          <w:szCs w:val="32"/>
        </w:rPr>
      </w:pPr>
      <w:r>
        <w:rPr>
          <w:rFonts w:hint="eastAsia" w:ascii="黑体" w:hAnsi="黑体" w:eastAsia="黑体"/>
          <w:b/>
          <w:sz w:val="32"/>
          <w:szCs w:val="32"/>
        </w:rPr>
        <w:t>前  言</w:t>
      </w:r>
    </w:p>
    <w:p>
      <w:pPr>
        <w:pStyle w:val="2"/>
        <w:tabs>
          <w:tab w:val="left" w:pos="517"/>
        </w:tabs>
        <w:ind w:left="204" w:right="465" w:firstLine="420" w:firstLineChars="200"/>
        <w:jc w:val="left"/>
        <w:rPr>
          <w:rFonts w:cs="宋体"/>
        </w:rPr>
      </w:pPr>
      <w:r>
        <w:rPr>
          <w:rFonts w:hint="eastAsia" w:cs="宋体"/>
        </w:rPr>
        <w:t>本文件按照GB/T 1.1—2020给出的规则起草。</w:t>
      </w:r>
    </w:p>
    <w:p>
      <w:pPr>
        <w:pStyle w:val="2"/>
        <w:tabs>
          <w:tab w:val="left" w:pos="517"/>
        </w:tabs>
        <w:ind w:left="204" w:right="465" w:firstLine="420" w:firstLineChars="200"/>
        <w:jc w:val="left"/>
        <w:rPr>
          <w:rFonts w:cs="宋体"/>
        </w:rPr>
      </w:pPr>
      <w:r>
        <w:rPr>
          <w:rFonts w:hint="eastAsia" w:cs="宋体"/>
        </w:rPr>
        <w:t>本文件由中国出入境检验检疫协会实验室装备标准化技术委员会（CIQA/TC3）提出并归口。</w:t>
      </w:r>
    </w:p>
    <w:p>
      <w:pPr>
        <w:pStyle w:val="2"/>
        <w:tabs>
          <w:tab w:val="left" w:pos="517"/>
        </w:tabs>
        <w:ind w:left="204" w:right="465" w:firstLine="420" w:firstLineChars="200"/>
        <w:jc w:val="left"/>
        <w:rPr>
          <w:rFonts w:cs="宋体"/>
        </w:rPr>
      </w:pPr>
      <w:r>
        <w:rPr>
          <w:rFonts w:hint="eastAsia" w:cs="宋体"/>
        </w:rPr>
        <w:t>本文件的版权归中国出入境检验检疫协会所有。未经许可,任何单位或个人不得以营利为目的对本标准进行复制、转载、抄袭、改编、汇编或翻译等。</w:t>
      </w:r>
    </w:p>
    <w:p>
      <w:pPr>
        <w:pStyle w:val="2"/>
        <w:tabs>
          <w:tab w:val="left" w:pos="517"/>
        </w:tabs>
        <w:ind w:left="204" w:right="465" w:firstLine="420" w:firstLineChars="200"/>
        <w:jc w:val="left"/>
        <w:rPr>
          <w:rFonts w:cs="宋体"/>
        </w:rPr>
      </w:pPr>
      <w:r>
        <w:rPr>
          <w:rFonts w:hint="eastAsia" w:cs="宋体"/>
        </w:rPr>
        <w:t>本文件负责起草单位：纽勤生物科技（上海）有限公司、内蒙古蒙牛乳业（集团）股份有限公司</w:t>
      </w:r>
    </w:p>
    <w:p>
      <w:pPr>
        <w:pStyle w:val="2"/>
        <w:tabs>
          <w:tab w:val="left" w:pos="517"/>
        </w:tabs>
        <w:ind w:left="204" w:right="465" w:firstLine="420" w:firstLineChars="200"/>
        <w:jc w:val="left"/>
        <w:rPr>
          <w:rFonts w:cs="宋体"/>
        </w:rPr>
      </w:pPr>
      <w:r>
        <w:rPr>
          <w:rFonts w:hint="eastAsia" w:cs="宋体"/>
        </w:rPr>
        <w:t>本文件参与起草单位：</w:t>
      </w:r>
      <w:r>
        <w:rPr>
          <w:rFonts w:hint="eastAsia" w:ascii="Times New Roman"/>
        </w:rPr>
        <w:t>光明乳业股份有限公司、杭州味全食品有限公司、浙江一鸣食品股份有限公司、重庆天友乳业有限公司、四川雪宝乳业集团有限公司、云南皇氏来思尔乳业有限公司</w:t>
      </w:r>
    </w:p>
    <w:p>
      <w:pPr>
        <w:pStyle w:val="2"/>
        <w:tabs>
          <w:tab w:val="left" w:pos="517"/>
        </w:tabs>
        <w:ind w:left="204" w:right="465" w:firstLine="420" w:firstLineChars="200"/>
        <w:jc w:val="left"/>
        <w:rPr>
          <w:rFonts w:cs="宋体"/>
        </w:rPr>
      </w:pPr>
      <w:r>
        <w:rPr>
          <w:rFonts w:hint="eastAsia" w:cs="宋体"/>
        </w:rPr>
        <w:t>本文件主要起草人：</w:t>
      </w:r>
      <w:r>
        <w:rPr>
          <w:rFonts w:hint="eastAsia" w:ascii="Times New Roman"/>
        </w:rPr>
        <w:t>王云封、田浩、安娜、马利军、李雪晶、张慧萍、王红坤、肖述涛、夏阳、张清平、何伟、路铭</w:t>
      </w:r>
    </w:p>
    <w:p>
      <w:pPr>
        <w:pStyle w:val="2"/>
        <w:tabs>
          <w:tab w:val="left" w:pos="517"/>
        </w:tabs>
        <w:ind w:left="204" w:right="465" w:firstLine="420" w:firstLineChars="200"/>
        <w:jc w:val="left"/>
        <w:rPr>
          <w:rFonts w:cs="宋体"/>
        </w:rPr>
      </w:pPr>
      <w:r>
        <w:rPr>
          <w:rFonts w:hint="eastAsia" w:cs="宋体"/>
        </w:rPr>
        <w:t>本文件起草过程中未检索到专利和知识产权问题。如涉及到此类问题，请使用单位与专利和知识产权持有方协商，本协会不承担与该专利及知识产权相关的责任。</w:t>
      </w:r>
    </w:p>
    <w:p>
      <w:pPr>
        <w:pStyle w:val="2"/>
        <w:tabs>
          <w:tab w:val="left" w:pos="517"/>
        </w:tabs>
        <w:ind w:left="204" w:right="465" w:firstLine="420" w:firstLineChars="200"/>
        <w:jc w:val="left"/>
        <w:rPr>
          <w:rFonts w:cs="宋体"/>
        </w:rPr>
      </w:pPr>
      <w:r>
        <w:rPr>
          <w:rFonts w:hint="eastAsia" w:cs="宋体"/>
        </w:rPr>
        <w:t>本文件为首次发布。</w:t>
      </w: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4"/>
        </w:rPr>
      </w:pPr>
    </w:p>
    <w:p>
      <w:pPr>
        <w:pStyle w:val="13"/>
        <w:spacing w:before="156" w:beforeLines="50" w:after="156" w:afterLines="50"/>
        <w:ind w:firstLine="0" w:firstLineChars="0"/>
        <w:rPr>
          <w:b/>
          <w:sz w:val="28"/>
          <w:szCs w:val="28"/>
        </w:rPr>
      </w:pPr>
    </w:p>
    <w:p>
      <w:pPr>
        <w:pStyle w:val="13"/>
        <w:spacing w:before="156" w:beforeLines="50" w:after="156" w:afterLines="50"/>
        <w:ind w:firstLine="0" w:firstLineChars="0"/>
        <w:rPr>
          <w:b/>
          <w:sz w:val="28"/>
          <w:szCs w:val="28"/>
        </w:rPr>
      </w:pPr>
    </w:p>
    <w:p>
      <w:pPr>
        <w:pStyle w:val="13"/>
        <w:spacing w:before="156" w:beforeLines="50" w:after="156" w:afterLines="50"/>
        <w:ind w:firstLine="0" w:firstLineChars="0"/>
        <w:rPr>
          <w:b/>
          <w:sz w:val="28"/>
          <w:szCs w:val="28"/>
        </w:rPr>
      </w:pPr>
    </w:p>
    <w:p>
      <w:pPr>
        <w:pStyle w:val="13"/>
        <w:spacing w:before="156" w:beforeLines="50" w:after="156" w:afterLines="50"/>
        <w:ind w:firstLine="0" w:firstLineChars="0"/>
        <w:rPr>
          <w:b/>
          <w:sz w:val="28"/>
          <w:szCs w:val="28"/>
        </w:rPr>
        <w:sectPr>
          <w:headerReference r:id="rId7" w:type="default"/>
          <w:footerReference r:id="rId8" w:type="default"/>
          <w:pgSz w:w="11906" w:h="16838"/>
          <w:pgMar w:top="1418" w:right="1134" w:bottom="1134" w:left="1418" w:header="851" w:footer="992" w:gutter="0"/>
          <w:pgNumType w:fmt="upperRoman" w:start="1" w:chapStyle="1"/>
          <w:cols w:space="720" w:num="1"/>
          <w:docGrid w:type="lines" w:linePitch="312" w:charSpace="0"/>
        </w:sectPr>
      </w:pPr>
    </w:p>
    <w:p>
      <w:pPr>
        <w:pStyle w:val="14"/>
        <w:spacing w:line="240" w:lineRule="auto"/>
        <w:ind w:firstLine="0"/>
        <w:jc w:val="center"/>
        <w:rPr>
          <w:rFonts w:hint="eastAsia" w:ascii="Times New Roman" w:eastAsia="黑体"/>
          <w:kern w:val="0"/>
          <w:sz w:val="32"/>
          <w:szCs w:val="32"/>
        </w:rPr>
      </w:pPr>
      <w:bookmarkStart w:id="3" w:name="_Toc22088_WPSOffice_Level2"/>
    </w:p>
    <w:p>
      <w:pPr>
        <w:pStyle w:val="14"/>
        <w:spacing w:line="240" w:lineRule="auto"/>
        <w:ind w:firstLine="0"/>
        <w:jc w:val="center"/>
        <w:rPr>
          <w:rFonts w:ascii="Times New Roman" w:eastAsia="黑体"/>
          <w:kern w:val="0"/>
          <w:sz w:val="32"/>
          <w:szCs w:val="32"/>
        </w:rPr>
      </w:pPr>
      <w:r>
        <w:rPr>
          <w:rFonts w:hint="eastAsia" w:ascii="Times New Roman" w:eastAsia="黑体"/>
          <w:kern w:val="0"/>
          <w:sz w:val="32"/>
          <w:szCs w:val="32"/>
        </w:rPr>
        <w:t>乳及乳制品中霉菌和酵母快速测定 实时光电法</w:t>
      </w:r>
      <w:bookmarkEnd w:id="3"/>
    </w:p>
    <w:p>
      <w:pPr>
        <w:pStyle w:val="15"/>
        <w:numPr>
          <w:ilvl w:val="0"/>
          <w:numId w:val="1"/>
        </w:numPr>
        <w:snapToGrid w:val="0"/>
        <w:spacing w:before="240" w:after="240"/>
        <w:rPr>
          <w:rFonts w:ascii="Times New Roman"/>
        </w:rPr>
      </w:pPr>
      <w:bookmarkStart w:id="4" w:name="_Toc3217_WPSOffice_Level2"/>
      <w:r>
        <w:rPr>
          <w:rFonts w:ascii="Times New Roman"/>
        </w:rPr>
        <w:t>范围</w:t>
      </w:r>
      <w:bookmarkEnd w:id="4"/>
    </w:p>
    <w:p>
      <w:pPr>
        <w:snapToGrid w:val="0"/>
        <w:ind w:firstLine="420" w:firstLineChars="200"/>
        <w:rPr>
          <w:rFonts w:ascii="Times New Roman" w:hAnsi="Times New Roman"/>
          <w:color w:val="FF0000"/>
          <w:szCs w:val="21"/>
        </w:rPr>
      </w:pPr>
      <w:r>
        <w:rPr>
          <w:rFonts w:ascii="Times New Roman" w:hAnsi="Times New Roman"/>
          <w:color w:val="000000"/>
          <w:szCs w:val="21"/>
        </w:rPr>
        <w:t>本</w:t>
      </w:r>
      <w:r>
        <w:rPr>
          <w:rFonts w:hint="eastAsia" w:ascii="Times New Roman" w:hAnsi="Times New Roman"/>
          <w:color w:val="000000"/>
          <w:szCs w:val="21"/>
        </w:rPr>
        <w:t>文件描述</w:t>
      </w:r>
      <w:r>
        <w:rPr>
          <w:rFonts w:ascii="Times New Roman" w:hAnsi="Times New Roman"/>
          <w:color w:val="000000"/>
          <w:szCs w:val="21"/>
        </w:rPr>
        <w:t>了</w:t>
      </w:r>
      <w:r>
        <w:rPr>
          <w:rFonts w:hint="eastAsia" w:ascii="Times New Roman" w:hAnsi="Times New Roman"/>
          <w:color w:val="000000"/>
          <w:szCs w:val="21"/>
        </w:rPr>
        <w:t>乳及乳制品中霉菌和酵母的实时光电快速测定的方法。</w:t>
      </w:r>
    </w:p>
    <w:p>
      <w:pPr>
        <w:snapToGrid w:val="0"/>
        <w:ind w:firstLine="420" w:firstLineChars="200"/>
        <w:rPr>
          <w:rFonts w:ascii="Times New Roman" w:hAnsi="Times New Roman"/>
          <w:color w:val="FF0000"/>
          <w:szCs w:val="21"/>
        </w:rPr>
      </w:pPr>
      <w:r>
        <w:rPr>
          <w:rFonts w:ascii="Times New Roman" w:hAnsi="Times New Roman"/>
          <w:color w:val="000000"/>
          <w:szCs w:val="21"/>
        </w:rPr>
        <w:t>本</w:t>
      </w:r>
      <w:r>
        <w:rPr>
          <w:rFonts w:hint="eastAsia" w:ascii="Times New Roman" w:hAnsi="Times New Roman"/>
          <w:color w:val="000000"/>
          <w:szCs w:val="21"/>
        </w:rPr>
        <w:t>文件适用于液体乳、</w:t>
      </w:r>
      <w:r>
        <w:rPr>
          <w:rFonts w:ascii="Times New Roman" w:hAnsi="Times New Roman"/>
          <w:color w:val="000000"/>
          <w:szCs w:val="21"/>
        </w:rPr>
        <w:t>乳粉、</w:t>
      </w:r>
      <w:r>
        <w:rPr>
          <w:rFonts w:hint="eastAsia" w:ascii="Times New Roman" w:hAnsi="Times New Roman"/>
          <w:color w:val="000000"/>
          <w:szCs w:val="21"/>
        </w:rPr>
        <w:t>及乳制品中霉菌和酵母的测定。</w:t>
      </w:r>
    </w:p>
    <w:p>
      <w:pPr>
        <w:snapToGrid w:val="0"/>
        <w:ind w:firstLine="420" w:firstLineChars="200"/>
        <w:rPr>
          <w:rFonts w:ascii="Times New Roman" w:hAnsi="Times New Roman"/>
          <w:color w:val="000000"/>
          <w:szCs w:val="21"/>
        </w:rPr>
      </w:pPr>
    </w:p>
    <w:p>
      <w:pPr>
        <w:pStyle w:val="15"/>
        <w:numPr>
          <w:ilvl w:val="0"/>
          <w:numId w:val="1"/>
        </w:numPr>
        <w:snapToGrid w:val="0"/>
        <w:spacing w:before="240" w:after="240"/>
        <w:rPr>
          <w:rFonts w:ascii="Times New Roman"/>
          <w:szCs w:val="22"/>
        </w:rPr>
      </w:pPr>
      <w:bookmarkStart w:id="5" w:name="_Toc24640_WPSOffice_Level2"/>
      <w:r>
        <w:rPr>
          <w:rFonts w:ascii="Times New Roman"/>
          <w:szCs w:val="22"/>
        </w:rPr>
        <w:t>规范性引用文件</w:t>
      </w:r>
      <w:bookmarkEnd w:id="5"/>
    </w:p>
    <w:p>
      <w:pPr>
        <w:snapToGrid w:val="0"/>
        <w:ind w:firstLine="420" w:firstLineChars="200"/>
        <w:rPr>
          <w:rFonts w:ascii="Times New Roman" w:hAnsi="Times New Roman"/>
          <w:color w:val="000000"/>
          <w:szCs w:val="21"/>
        </w:rPr>
      </w:pPr>
      <w:r>
        <w:rPr>
          <w:rFonts w:ascii="Times New Roman" w:hAnsi="Times New Roman"/>
          <w:szCs w:val="21"/>
        </w:rPr>
        <w:t>下列文件对于本文件的应用是必不可少的。</w:t>
      </w:r>
      <w:r>
        <w:rPr>
          <w:rFonts w:ascii="Times New Roman" w:hAnsi="Times New Roman"/>
          <w:color w:val="000000"/>
          <w:szCs w:val="21"/>
        </w:rPr>
        <w:t>凡是注日期的引用文件，仅注日期的版本适用于本文件。凡是不注日期的引用文件，其最新版本（包括所有的修改单）适用于本文件。</w:t>
      </w:r>
    </w:p>
    <w:p>
      <w:pPr>
        <w:pStyle w:val="14"/>
        <w:numPr>
          <w:ilvl w:val="255"/>
          <w:numId w:val="0"/>
        </w:numPr>
        <w:spacing w:before="120" w:beforeLines="50" w:after="120" w:afterLines="50" w:line="240" w:lineRule="auto"/>
        <w:ind w:firstLine="420" w:firstLineChars="200"/>
        <w:rPr>
          <w:rFonts w:ascii="Times New Roman" w:eastAsia="黑体"/>
        </w:rPr>
      </w:pPr>
      <w:r>
        <w:rPr>
          <w:rFonts w:ascii="Times New Roman" w:eastAsia="宋体"/>
          <w:color w:val="000000"/>
          <w:szCs w:val="21"/>
        </w:rPr>
        <w:t xml:space="preserve">GB </w:t>
      </w:r>
      <w:r>
        <w:rPr>
          <w:rFonts w:hint="eastAsia" w:ascii="Times New Roman" w:eastAsia="宋体"/>
          <w:color w:val="000000"/>
          <w:szCs w:val="21"/>
        </w:rPr>
        <w:t>4789.15</w:t>
      </w:r>
      <w:r>
        <w:rPr>
          <w:rFonts w:ascii="Times New Roman" w:eastAsia="宋体"/>
          <w:color w:val="000000"/>
          <w:szCs w:val="21"/>
        </w:rPr>
        <w:t xml:space="preserve"> </w:t>
      </w:r>
      <w:r>
        <w:rPr>
          <w:rFonts w:hint="eastAsia" w:ascii="Times New Roman" w:eastAsia="宋体"/>
          <w:color w:val="000000"/>
          <w:szCs w:val="21"/>
        </w:rPr>
        <w:t>食品安全国家标准 食品微生物学检验 霉菌和酵母计数</w:t>
      </w:r>
    </w:p>
    <w:p>
      <w:pPr>
        <w:pStyle w:val="14"/>
        <w:spacing w:before="120" w:beforeLines="50" w:after="120" w:afterLines="50" w:line="240" w:lineRule="auto"/>
        <w:rPr>
          <w:rFonts w:ascii="Times New Roman" w:eastAsia="宋体"/>
          <w:color w:val="000000"/>
          <w:szCs w:val="21"/>
        </w:rPr>
      </w:pPr>
      <w:r>
        <w:rPr>
          <w:rFonts w:ascii="Times New Roman" w:eastAsia="宋体"/>
          <w:color w:val="000000"/>
          <w:szCs w:val="21"/>
          <w:lang w:val="en-US"/>
        </w:rPr>
        <w:t xml:space="preserve">GB 4789.18 </w:t>
      </w:r>
      <w:r>
        <w:rPr>
          <w:rFonts w:hint="eastAsia" w:ascii="Times New Roman" w:eastAsia="宋体"/>
          <w:color w:val="000000"/>
          <w:szCs w:val="21"/>
        </w:rPr>
        <w:t>食品安全国家标准 食品微生物学检验</w:t>
      </w:r>
      <w:r>
        <w:rPr>
          <w:rFonts w:ascii="Times New Roman" w:eastAsia="宋体"/>
          <w:color w:val="000000"/>
          <w:szCs w:val="21"/>
        </w:rPr>
        <w:tab/>
      </w:r>
      <w:r>
        <w:rPr>
          <w:rFonts w:ascii="Times New Roman" w:eastAsia="宋体"/>
          <w:color w:val="000000"/>
          <w:szCs w:val="21"/>
        </w:rPr>
        <w:t xml:space="preserve"> </w:t>
      </w:r>
      <w:r>
        <w:rPr>
          <w:rFonts w:hint="eastAsia" w:ascii="Times New Roman" w:eastAsia="宋体"/>
          <w:color w:val="000000"/>
          <w:szCs w:val="21"/>
        </w:rPr>
        <w:t>乳及乳制品检验</w:t>
      </w:r>
    </w:p>
    <w:p>
      <w:pPr>
        <w:pStyle w:val="14"/>
        <w:spacing w:before="120" w:beforeLines="50" w:after="120" w:afterLines="50" w:line="240" w:lineRule="auto"/>
        <w:ind w:firstLine="424" w:firstLineChars="202"/>
        <w:rPr>
          <w:rFonts w:ascii="Times New Roman" w:eastAsia="宋体"/>
          <w:color w:val="000000"/>
          <w:szCs w:val="21"/>
          <w:lang w:val="en-US"/>
        </w:rPr>
      </w:pPr>
      <w:r>
        <w:rPr>
          <w:rFonts w:ascii="Times New Roman"/>
          <w:color w:val="000000"/>
          <w:szCs w:val="21"/>
        </w:rPr>
        <w:t xml:space="preserve">GB/T 6682 </w:t>
      </w:r>
      <w:r>
        <w:rPr>
          <w:rFonts w:hint="eastAsia" w:ascii="Times New Roman"/>
          <w:color w:val="000000"/>
          <w:szCs w:val="21"/>
        </w:rPr>
        <w:t>分析实验室用水规格和试验方法</w:t>
      </w:r>
      <w:r>
        <w:rPr>
          <w:rFonts w:ascii="Times New Roman" w:eastAsia="宋体"/>
          <w:color w:val="000000"/>
          <w:szCs w:val="21"/>
          <w:lang w:val="en-US"/>
        </w:rPr>
        <w:t xml:space="preserve">  </w:t>
      </w:r>
    </w:p>
    <w:p>
      <w:pPr>
        <w:pStyle w:val="14"/>
        <w:spacing w:before="120" w:beforeLines="50" w:after="120" w:afterLines="50" w:line="240" w:lineRule="auto"/>
        <w:ind w:firstLine="420" w:firstLineChars="200"/>
        <w:rPr>
          <w:rFonts w:ascii="Times New Roman" w:eastAsia="宋体"/>
          <w:color w:val="000000"/>
          <w:szCs w:val="21"/>
          <w:lang w:val="en-US"/>
        </w:rPr>
      </w:pPr>
      <w:r>
        <w:rPr>
          <w:rFonts w:ascii="Times New Roman" w:eastAsia="宋体"/>
          <w:color w:val="000000"/>
          <w:szCs w:val="21"/>
          <w:lang w:val="en-US"/>
        </w:rPr>
        <w:t xml:space="preserve">GB/T 30644 </w:t>
      </w:r>
      <w:r>
        <w:rPr>
          <w:rFonts w:hint="eastAsia" w:ascii="Times New Roman" w:eastAsia="宋体"/>
          <w:color w:val="000000"/>
          <w:szCs w:val="21"/>
          <w:lang w:val="en-US"/>
        </w:rPr>
        <w:t>食品生产加工企业电子记录通用要求</w:t>
      </w:r>
      <w:r>
        <w:rPr>
          <w:rFonts w:ascii="Times New Roman" w:eastAsia="宋体"/>
          <w:color w:val="000000"/>
          <w:szCs w:val="21"/>
          <w:lang w:val="en-US"/>
        </w:rPr>
        <w:t xml:space="preserve"> </w:t>
      </w:r>
    </w:p>
    <w:p>
      <w:pPr>
        <w:pStyle w:val="15"/>
        <w:numPr>
          <w:ilvl w:val="0"/>
          <w:numId w:val="1"/>
        </w:numPr>
        <w:snapToGrid w:val="0"/>
        <w:spacing w:before="240" w:after="240"/>
        <w:rPr>
          <w:rFonts w:ascii="Times New Roman"/>
          <w:szCs w:val="22"/>
        </w:rPr>
      </w:pPr>
      <w:bookmarkStart w:id="6" w:name="_Toc5957_WPSOffice_Level2"/>
      <w:r>
        <w:rPr>
          <w:rFonts w:ascii="Times New Roman"/>
          <w:szCs w:val="22"/>
        </w:rPr>
        <w:t>术语和定义</w:t>
      </w:r>
      <w:bookmarkEnd w:id="6"/>
    </w:p>
    <w:p>
      <w:pPr>
        <w:snapToGrid w:val="0"/>
        <w:ind w:firstLine="420" w:firstLineChars="200"/>
        <w:rPr>
          <w:rFonts w:ascii="Times New Roman" w:hAnsi="Times New Roman"/>
          <w:color w:val="000000"/>
          <w:szCs w:val="21"/>
        </w:rPr>
      </w:pPr>
      <w:r>
        <w:rPr>
          <w:rFonts w:hint="eastAsia" w:ascii="Times New Roman" w:hAnsi="Times New Roman"/>
          <w:color w:val="000000"/>
          <w:szCs w:val="21"/>
        </w:rPr>
        <w:t>本文件没有需要界定的术语和定义</w:t>
      </w:r>
      <w:r>
        <w:rPr>
          <w:rFonts w:ascii="Times New Roman" w:hAnsi="Times New Roman"/>
          <w:color w:val="000000"/>
          <w:szCs w:val="21"/>
        </w:rPr>
        <w:t xml:space="preserve">。 </w:t>
      </w:r>
    </w:p>
    <w:p>
      <w:pPr>
        <w:pStyle w:val="15"/>
        <w:numPr>
          <w:ilvl w:val="0"/>
          <w:numId w:val="1"/>
        </w:numPr>
        <w:snapToGrid w:val="0"/>
        <w:spacing w:before="240" w:after="240"/>
        <w:rPr>
          <w:rFonts w:ascii="Times New Roman"/>
          <w:szCs w:val="22"/>
        </w:rPr>
      </w:pPr>
      <w:bookmarkStart w:id="7" w:name="_Toc23275_WPSOffice_Level2"/>
      <w:r>
        <w:rPr>
          <w:rFonts w:ascii="Times New Roman"/>
          <w:szCs w:val="22"/>
        </w:rPr>
        <w:t>技术要求</w:t>
      </w:r>
      <w:bookmarkEnd w:id="7"/>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方法提要</w:t>
      </w:r>
    </w:p>
    <w:p>
      <w:pPr>
        <w:pStyle w:val="14"/>
        <w:spacing w:line="240" w:lineRule="auto"/>
        <w:rPr>
          <w:rFonts w:ascii="Times New Roman" w:eastAsia="宋体"/>
          <w:color w:val="FF0000"/>
          <w:szCs w:val="21"/>
        </w:rPr>
      </w:pPr>
      <w:r>
        <w:rPr>
          <w:rFonts w:hint="eastAsia" w:ascii="Times New Roman" w:eastAsia="宋体"/>
          <w:color w:val="000000"/>
          <w:szCs w:val="21"/>
        </w:rPr>
        <w:t>根据样品霉菌和酵母计数限量值，对</w:t>
      </w:r>
      <w:r>
        <w:rPr>
          <w:rFonts w:ascii="Times New Roman" w:eastAsia="宋体"/>
          <w:color w:val="000000"/>
          <w:szCs w:val="21"/>
        </w:rPr>
        <w:t>样品</w:t>
      </w:r>
      <w:r>
        <w:rPr>
          <w:rFonts w:hint="eastAsia" w:ascii="Times New Roman" w:eastAsia="宋体"/>
          <w:color w:val="000000"/>
          <w:szCs w:val="21"/>
        </w:rPr>
        <w:t>进行相应倍数的稀释，将</w:t>
      </w:r>
      <w:r>
        <w:rPr>
          <w:rFonts w:ascii="Times New Roman" w:eastAsia="宋体"/>
          <w:color w:val="000000"/>
          <w:szCs w:val="21"/>
        </w:rPr>
        <w:t>样品</w:t>
      </w:r>
      <w:r>
        <w:rPr>
          <w:rFonts w:hint="eastAsia" w:ascii="Times New Roman" w:eastAsia="宋体"/>
          <w:color w:val="000000"/>
          <w:szCs w:val="21"/>
        </w:rPr>
        <w:t>稀释液</w:t>
      </w:r>
      <w:r>
        <w:rPr>
          <w:rFonts w:hint="eastAsia" w:ascii="Times New Roman" w:eastAsia="宋体"/>
          <w:szCs w:val="21"/>
        </w:rPr>
        <w:t>加入霉菌酵母测试瓶中</w:t>
      </w:r>
      <w:r>
        <w:rPr>
          <w:rFonts w:ascii="Times New Roman" w:eastAsia="宋体"/>
          <w:szCs w:val="21"/>
        </w:rPr>
        <w:t>，</w:t>
      </w:r>
      <w:r>
        <w:rPr>
          <w:rFonts w:hint="eastAsia" w:ascii="Times New Roman" w:eastAsia="宋体"/>
          <w:color w:val="000000"/>
          <w:szCs w:val="21"/>
        </w:rPr>
        <w:t>样品稀释液中若含有霉菌和酵母，</w:t>
      </w:r>
      <w:r>
        <w:rPr>
          <w:rFonts w:ascii="Times New Roman" w:eastAsia="宋体"/>
          <w:szCs w:val="21"/>
        </w:rPr>
        <w:t>霉菌</w:t>
      </w:r>
      <w:r>
        <w:rPr>
          <w:rFonts w:hint="eastAsia" w:ascii="Times New Roman" w:eastAsia="宋体"/>
          <w:color w:val="000000"/>
          <w:szCs w:val="21"/>
        </w:rPr>
        <w:t>和</w:t>
      </w:r>
      <w:r>
        <w:rPr>
          <w:rFonts w:ascii="Times New Roman" w:eastAsia="宋体"/>
          <w:szCs w:val="21"/>
        </w:rPr>
        <w:t>酵母</w:t>
      </w:r>
      <w:r>
        <w:rPr>
          <w:rFonts w:hint="eastAsia" w:ascii="Times New Roman" w:eastAsia="宋体"/>
          <w:szCs w:val="21"/>
        </w:rPr>
        <w:t>生长繁殖的代谢产物C</w:t>
      </w:r>
      <w:r>
        <w:rPr>
          <w:rFonts w:ascii="Times New Roman" w:eastAsia="宋体"/>
          <w:szCs w:val="21"/>
        </w:rPr>
        <w:t>O</w:t>
      </w:r>
      <w:r>
        <w:rPr>
          <w:rFonts w:ascii="Times New Roman" w:eastAsia="宋体"/>
          <w:szCs w:val="21"/>
          <w:vertAlign w:val="subscript"/>
        </w:rPr>
        <w:t>2</w:t>
      </w:r>
      <w:r>
        <w:rPr>
          <w:rFonts w:hint="eastAsia" w:ascii="Times New Roman" w:eastAsia="宋体"/>
          <w:szCs w:val="21"/>
        </w:rPr>
        <w:t>可使测试瓶底部的颜色由绿变黄，颜色变化过程由</w:t>
      </w:r>
      <w:r>
        <w:rPr>
          <w:rFonts w:hint="eastAsia" w:ascii="Times New Roman" w:eastAsia="宋体"/>
          <w:color w:val="000000" w:themeColor="text1"/>
          <w:szCs w:val="21"/>
          <w14:textFill>
            <w14:solidFill>
              <w14:schemeClr w14:val="tx1"/>
            </w14:solidFill>
          </w14:textFill>
        </w:rPr>
        <w:t>微生物快速检测</w:t>
      </w:r>
      <w:r>
        <w:rPr>
          <w:rFonts w:hint="eastAsia" w:ascii="Times New Roman" w:eastAsia="宋体"/>
          <w:szCs w:val="21"/>
        </w:rPr>
        <w:t>系统的</w:t>
      </w:r>
      <w:r>
        <w:rPr>
          <w:rFonts w:ascii="Times New Roman" w:eastAsia="宋体"/>
          <w:szCs w:val="21"/>
        </w:rPr>
        <w:t>检测器</w:t>
      </w:r>
      <w:r>
        <w:rPr>
          <w:rFonts w:hint="eastAsia" w:ascii="Times New Roman" w:eastAsia="宋体"/>
          <w:szCs w:val="21"/>
        </w:rPr>
        <w:t>进行实时监测</w:t>
      </w:r>
      <w:r>
        <w:rPr>
          <w:rFonts w:ascii="Times New Roman" w:eastAsia="宋体"/>
          <w:szCs w:val="21"/>
        </w:rPr>
        <w:t>，</w:t>
      </w:r>
      <w:r>
        <w:rPr>
          <w:rFonts w:hint="eastAsia" w:ascii="Times New Roman" w:eastAsia="宋体"/>
          <w:szCs w:val="21"/>
        </w:rPr>
        <w:t>提示样品中污染有霉菌或酵母；反之，</w:t>
      </w:r>
      <w:r>
        <w:rPr>
          <w:rFonts w:hint="eastAsia" w:ascii="Times New Roman" w:eastAsia="宋体"/>
          <w:color w:val="000000"/>
          <w:szCs w:val="21"/>
        </w:rPr>
        <w:t>样品稀释液中若没有污染霉菌和酵母，</w:t>
      </w:r>
      <w:r>
        <w:rPr>
          <w:rFonts w:hint="eastAsia" w:ascii="Times New Roman" w:eastAsia="宋体"/>
          <w:szCs w:val="21"/>
        </w:rPr>
        <w:t>测试瓶底部的颜色保持不变，</w:t>
      </w:r>
      <w:r>
        <w:rPr>
          <w:rFonts w:ascii="Times New Roman" w:eastAsia="宋体"/>
          <w:szCs w:val="21"/>
        </w:rPr>
        <w:t>提示样品符合相关</w:t>
      </w:r>
      <w:r>
        <w:rPr>
          <w:rFonts w:hint="eastAsia" w:ascii="Times New Roman" w:eastAsia="宋体"/>
          <w:szCs w:val="21"/>
        </w:rPr>
        <w:t>标准</w:t>
      </w:r>
      <w:r>
        <w:rPr>
          <w:rFonts w:ascii="Times New Roman" w:eastAsia="宋体"/>
          <w:szCs w:val="21"/>
        </w:rPr>
        <w:t>的限量值</w:t>
      </w:r>
      <w:r>
        <w:rPr>
          <w:rFonts w:hint="eastAsia" w:ascii="Times New Roman" w:eastAsia="宋体"/>
          <w:szCs w:val="21"/>
        </w:rPr>
        <w:t>。</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设备和材料</w:t>
      </w:r>
    </w:p>
    <w:p>
      <w:pPr>
        <w:pStyle w:val="14"/>
        <w:widowControl/>
        <w:tabs>
          <w:tab w:val="center" w:pos="4201"/>
          <w:tab w:val="right" w:leader="dot" w:pos="9298"/>
        </w:tabs>
        <w:autoSpaceDE w:val="0"/>
        <w:autoSpaceDN w:val="0"/>
        <w:spacing w:before="120" w:beforeLines="50" w:after="120" w:afterLines="50" w:line="240" w:lineRule="auto"/>
        <w:ind w:firstLine="426"/>
        <w:rPr>
          <w:rFonts w:ascii="Times New Roman" w:eastAsia="黑体"/>
        </w:rPr>
      </w:pPr>
      <w:r>
        <w:rPr>
          <w:rFonts w:hint="eastAsia" w:ascii="Times New Roman" w:eastAsia="宋体"/>
          <w:color w:val="000000"/>
          <w:szCs w:val="21"/>
        </w:rPr>
        <w:t>除微生物实验室常规灭菌设备和</w:t>
      </w:r>
      <w:r>
        <w:rPr>
          <w:rFonts w:ascii="Times New Roman" w:eastAsia="宋体"/>
          <w:color w:val="000000"/>
          <w:szCs w:val="21"/>
        </w:rPr>
        <w:t>GB 4789.15</w:t>
      </w:r>
      <w:r>
        <w:rPr>
          <w:rFonts w:hint="eastAsia" w:ascii="Times New Roman" w:eastAsia="宋体"/>
          <w:color w:val="000000"/>
          <w:szCs w:val="21"/>
        </w:rPr>
        <w:t>中规定的设备和材料外，所需设备和材料如下：</w:t>
      </w:r>
    </w:p>
    <w:p>
      <w:pPr>
        <w:pStyle w:val="14"/>
        <w:spacing w:line="240" w:lineRule="auto"/>
        <w:ind w:firstLine="420"/>
        <w:rPr>
          <w:rFonts w:ascii="Times New Roman" w:eastAsia="宋体"/>
          <w:szCs w:val="21"/>
        </w:rPr>
      </w:pPr>
      <w:r>
        <w:rPr>
          <w:rFonts w:hint="eastAsia" w:ascii="Times New Roman" w:eastAsia="宋体"/>
          <w:szCs w:val="21"/>
        </w:rPr>
        <w:t>a</w:t>
      </w:r>
      <w:r>
        <w:rPr>
          <w:rFonts w:ascii="Times New Roman" w:eastAsia="宋体"/>
          <w:szCs w:val="21"/>
        </w:rPr>
        <w:t xml:space="preserve">) </w:t>
      </w:r>
      <w:r>
        <w:rPr>
          <w:rFonts w:hint="eastAsia" w:ascii="Times New Roman" w:eastAsia="宋体"/>
          <w:szCs w:val="21"/>
        </w:rPr>
        <w:t>设备：</w:t>
      </w:r>
    </w:p>
    <w:p>
      <w:pPr>
        <w:pStyle w:val="14"/>
        <w:spacing w:line="240" w:lineRule="auto"/>
        <w:ind w:firstLine="851"/>
        <w:rPr>
          <w:rFonts w:ascii="Times New Roman" w:eastAsia="宋体"/>
          <w:color w:val="000000" w:themeColor="text1"/>
          <w:szCs w:val="21"/>
          <w14:textFill>
            <w14:solidFill>
              <w14:schemeClr w14:val="tx1"/>
            </w14:solidFill>
          </w14:textFill>
        </w:rPr>
      </w:pPr>
      <w:r>
        <w:rPr>
          <w:rFonts w:hint="eastAsia" w:ascii="Times New Roman" w:eastAsia="宋体"/>
          <w:color w:val="000000"/>
          <w:szCs w:val="21"/>
        </w:rPr>
        <w:t xml:space="preserve">1） </w:t>
      </w:r>
      <w:r>
        <w:rPr>
          <w:rFonts w:hint="eastAsia" w:ascii="Times New Roman" w:eastAsia="宋体"/>
          <w:color w:val="000000" w:themeColor="text1"/>
          <w:szCs w:val="21"/>
          <w14:textFill>
            <w14:solidFill>
              <w14:schemeClr w14:val="tx1"/>
            </w14:solidFill>
          </w14:textFill>
        </w:rPr>
        <w:t>微生物快速检测系统；</w:t>
      </w:r>
    </w:p>
    <w:p>
      <w:pPr>
        <w:pStyle w:val="14"/>
        <w:spacing w:line="240" w:lineRule="auto"/>
        <w:ind w:firstLine="851"/>
        <w:rPr>
          <w:rFonts w:ascii="Times New Roman" w:eastAsia="宋体"/>
          <w:color w:val="000000" w:themeColor="text1"/>
          <w:szCs w:val="21"/>
          <w14:textFill>
            <w14:solidFill>
              <w14:schemeClr w14:val="tx1"/>
            </w14:solidFill>
          </w14:textFill>
        </w:rPr>
      </w:pPr>
      <w:r>
        <w:rPr>
          <w:rFonts w:hint="eastAsia" w:ascii="Times New Roman" w:eastAsia="宋体"/>
          <w:color w:val="000000" w:themeColor="text1"/>
          <w:szCs w:val="21"/>
          <w14:textFill>
            <w14:solidFill>
              <w14:schemeClr w14:val="tx1"/>
            </w14:solidFill>
          </w14:textFill>
        </w:rPr>
        <w:t>2）</w:t>
      </w:r>
      <w:r>
        <w:rPr>
          <w:rFonts w:ascii="Times New Roman" w:eastAsia="宋体"/>
          <w:color w:val="000000" w:themeColor="text1"/>
          <w:szCs w:val="21"/>
          <w14:textFill>
            <w14:solidFill>
              <w14:schemeClr w14:val="tx1"/>
            </w14:solidFill>
          </w14:textFill>
        </w:rPr>
        <w:t xml:space="preserve"> </w:t>
      </w:r>
      <w:r>
        <w:rPr>
          <w:rFonts w:hint="eastAsia" w:ascii="Times New Roman" w:eastAsia="宋体"/>
          <w:color w:val="000000" w:themeColor="text1"/>
          <w:szCs w:val="21"/>
          <w14:textFill>
            <w14:solidFill>
              <w14:schemeClr w14:val="tx1"/>
            </w14:solidFill>
          </w14:textFill>
        </w:rPr>
        <w:t>均质器。</w:t>
      </w:r>
    </w:p>
    <w:p>
      <w:pPr>
        <w:pStyle w:val="14"/>
        <w:spacing w:line="240" w:lineRule="auto"/>
        <w:ind w:firstLine="420" w:firstLineChars="200"/>
        <w:rPr>
          <w:rFonts w:ascii="Times New Roman" w:eastAsia="宋体"/>
          <w:color w:val="000000" w:themeColor="text1"/>
          <w:szCs w:val="21"/>
          <w:lang w:val="en-US"/>
          <w14:textFill>
            <w14:solidFill>
              <w14:schemeClr w14:val="tx1"/>
            </w14:solidFill>
          </w14:textFill>
        </w:rPr>
      </w:pPr>
      <w:r>
        <w:rPr>
          <w:rFonts w:hint="eastAsia" w:ascii="Times New Roman" w:eastAsia="宋体"/>
          <w:color w:val="000000" w:themeColor="text1"/>
          <w:szCs w:val="21"/>
          <w:lang w:val="en-US"/>
          <w14:textFill>
            <w14:solidFill>
              <w14:schemeClr w14:val="tx1"/>
            </w14:solidFill>
          </w14:textFill>
        </w:rPr>
        <w:t>b</w:t>
      </w:r>
      <w:r>
        <w:rPr>
          <w:rFonts w:ascii="Times New Roman" w:eastAsia="宋体"/>
          <w:color w:val="000000" w:themeColor="text1"/>
          <w:szCs w:val="21"/>
          <w:lang w:val="en-US"/>
          <w14:textFill>
            <w14:solidFill>
              <w14:schemeClr w14:val="tx1"/>
            </w14:solidFill>
          </w14:textFill>
        </w:rPr>
        <w:t xml:space="preserve">) </w:t>
      </w:r>
      <w:r>
        <w:rPr>
          <w:rFonts w:hint="eastAsia" w:ascii="Times New Roman" w:eastAsia="宋体"/>
          <w:color w:val="000000" w:themeColor="text1"/>
          <w:szCs w:val="21"/>
          <w14:textFill>
            <w14:solidFill>
              <w14:schemeClr w14:val="tx1"/>
            </w14:solidFill>
          </w14:textFill>
        </w:rPr>
        <w:t>试剂和材料：</w:t>
      </w:r>
    </w:p>
    <w:p>
      <w:pPr>
        <w:pStyle w:val="14"/>
        <w:spacing w:line="240" w:lineRule="auto"/>
        <w:ind w:firstLine="426"/>
        <w:rPr>
          <w:rFonts w:ascii="Times New Roman" w:eastAsia="宋体"/>
          <w:color w:val="000000" w:themeColor="text1"/>
          <w:szCs w:val="21"/>
          <w:lang w:val="en-US"/>
          <w14:textFill>
            <w14:solidFill>
              <w14:schemeClr w14:val="tx1"/>
            </w14:solidFill>
          </w14:textFill>
        </w:rPr>
      </w:pPr>
      <w:r>
        <w:rPr>
          <w:rFonts w:ascii="Times New Roman" w:eastAsia="宋体"/>
          <w:color w:val="000000" w:themeColor="text1"/>
          <w:szCs w:val="21"/>
          <w:lang w:val="en-US"/>
          <w14:textFill>
            <w14:solidFill>
              <w14:schemeClr w14:val="tx1"/>
            </w14:solidFill>
          </w14:textFill>
        </w:rPr>
        <w:t xml:space="preserve">    </w:t>
      </w:r>
      <w:r>
        <w:rPr>
          <w:rFonts w:hint="eastAsia" w:ascii="Times New Roman" w:eastAsia="宋体"/>
          <w:color w:val="000000" w:themeColor="text1"/>
          <w:szCs w:val="21"/>
          <w:lang w:val="en-US"/>
          <w14:textFill>
            <w14:solidFill>
              <w14:schemeClr w14:val="tx1"/>
            </w14:solidFill>
          </w14:textFill>
        </w:rPr>
        <w:t>1）</w:t>
      </w:r>
      <w:r>
        <w:rPr>
          <w:rFonts w:ascii="Times New Roman" w:eastAsia="宋体"/>
          <w:color w:val="000000" w:themeColor="text1"/>
          <w:szCs w:val="21"/>
          <w:lang w:val="en-US"/>
          <w14:textFill>
            <w14:solidFill>
              <w14:schemeClr w14:val="tx1"/>
            </w14:solidFill>
          </w14:textFill>
        </w:rPr>
        <w:t xml:space="preserve"> </w:t>
      </w:r>
      <w:r>
        <w:rPr>
          <w:rFonts w:hint="eastAsia" w:ascii="Times New Roman" w:eastAsia="宋体"/>
          <w:color w:val="000000" w:themeColor="text1"/>
          <w:szCs w:val="21"/>
          <w14:textFill>
            <w14:solidFill>
              <w14:schemeClr w14:val="tx1"/>
            </w14:solidFill>
          </w14:textFill>
        </w:rPr>
        <w:t>霉菌酵母直接测定测试瓶</w:t>
      </w:r>
      <w:r>
        <w:rPr>
          <w:rFonts w:hint="eastAsia" w:ascii="Times New Roman" w:eastAsia="宋体"/>
          <w:color w:val="000000" w:themeColor="text1"/>
          <w:szCs w:val="21"/>
          <w:lang w:val="en-US"/>
          <w14:textFill>
            <w14:solidFill>
              <w14:schemeClr w14:val="tx1"/>
            </w14:solidFill>
          </w14:textFill>
        </w:rPr>
        <w:t>；</w:t>
      </w:r>
    </w:p>
    <w:p>
      <w:pPr>
        <w:pStyle w:val="14"/>
        <w:spacing w:line="240" w:lineRule="auto"/>
        <w:ind w:firstLine="426"/>
        <w:rPr>
          <w:rFonts w:ascii="Times New Roman" w:eastAsia="宋体"/>
          <w:color w:val="000000" w:themeColor="text1"/>
          <w:szCs w:val="21"/>
          <w:lang w:val="en-US"/>
          <w14:textFill>
            <w14:solidFill>
              <w14:schemeClr w14:val="tx1"/>
            </w14:solidFill>
          </w14:textFill>
        </w:rPr>
      </w:pPr>
      <w:r>
        <w:rPr>
          <w:rFonts w:ascii="Times New Roman" w:eastAsia="宋体"/>
          <w:color w:val="000000" w:themeColor="text1"/>
          <w:szCs w:val="21"/>
          <w:lang w:val="en-US"/>
          <w14:textFill>
            <w14:solidFill>
              <w14:schemeClr w14:val="tx1"/>
            </w14:solidFill>
          </w14:textFill>
        </w:rPr>
        <w:t xml:space="preserve">    </w:t>
      </w:r>
      <w:r>
        <w:rPr>
          <w:rFonts w:hint="eastAsia" w:ascii="Times New Roman" w:eastAsia="宋体"/>
          <w:color w:val="000000" w:themeColor="text1"/>
          <w:szCs w:val="21"/>
          <w:lang w:val="en-US"/>
          <w14:textFill>
            <w14:solidFill>
              <w14:schemeClr w14:val="tx1"/>
            </w14:solidFill>
          </w14:textFill>
        </w:rPr>
        <w:t>2）</w:t>
      </w:r>
      <w:r>
        <w:rPr>
          <w:rFonts w:ascii="Times New Roman" w:eastAsia="宋体"/>
          <w:color w:val="000000" w:themeColor="text1"/>
          <w:szCs w:val="21"/>
          <w:lang w:val="en-US"/>
          <w14:textFill>
            <w14:solidFill>
              <w14:schemeClr w14:val="tx1"/>
            </w14:solidFill>
          </w14:textFill>
        </w:rPr>
        <w:t xml:space="preserve"> </w:t>
      </w:r>
      <w:r>
        <w:rPr>
          <w:rFonts w:hint="eastAsia" w:ascii="Times New Roman" w:eastAsia="宋体"/>
          <w:color w:val="000000" w:themeColor="text1"/>
          <w:szCs w:val="21"/>
          <w14:textFill>
            <w14:solidFill>
              <w14:schemeClr w14:val="tx1"/>
            </w14:solidFill>
          </w14:textFill>
        </w:rPr>
        <w:t>测试瓶补充物</w:t>
      </w:r>
      <w:r>
        <w:rPr>
          <w:rFonts w:hint="eastAsia" w:ascii="Times New Roman" w:eastAsia="宋体"/>
          <w:color w:val="000000" w:themeColor="text1"/>
          <w:szCs w:val="21"/>
          <w:lang w:val="en-US"/>
          <w14:textFill>
            <w14:solidFill>
              <w14:schemeClr w14:val="tx1"/>
            </w14:solidFill>
          </w14:textFill>
        </w:rPr>
        <w:t>；</w:t>
      </w:r>
    </w:p>
    <w:p>
      <w:pPr>
        <w:pStyle w:val="14"/>
        <w:spacing w:line="240" w:lineRule="auto"/>
        <w:ind w:firstLine="426"/>
        <w:rPr>
          <w:rFonts w:ascii="Times New Roman" w:eastAsia="宋体"/>
          <w:color w:val="000000"/>
          <w:szCs w:val="21"/>
          <w:lang w:val="en-US"/>
        </w:rPr>
      </w:pPr>
      <w:r>
        <w:rPr>
          <w:rFonts w:ascii="Times New Roman" w:eastAsia="宋体"/>
          <w:color w:val="000000"/>
          <w:szCs w:val="21"/>
          <w:lang w:val="en-US"/>
        </w:rPr>
        <w:t xml:space="preserve">    </w:t>
      </w:r>
      <w:r>
        <w:rPr>
          <w:rFonts w:hint="eastAsia" w:ascii="Times New Roman" w:eastAsia="宋体"/>
          <w:color w:val="000000"/>
          <w:szCs w:val="21"/>
          <w:lang w:val="en-US"/>
        </w:rPr>
        <w:t>3）</w:t>
      </w:r>
      <w:r>
        <w:rPr>
          <w:rFonts w:ascii="Times New Roman" w:eastAsia="宋体"/>
          <w:color w:val="000000"/>
          <w:szCs w:val="21"/>
          <w:lang w:val="en-US"/>
        </w:rPr>
        <w:t xml:space="preserve"> </w:t>
      </w:r>
      <w:r>
        <w:rPr>
          <w:rFonts w:hint="eastAsia" w:ascii="Times New Roman" w:eastAsia="宋体"/>
          <w:color w:val="000000"/>
          <w:szCs w:val="21"/>
        </w:rPr>
        <w:t>无菌水符合</w:t>
      </w:r>
      <w:r>
        <w:rPr>
          <w:rFonts w:hint="eastAsia" w:ascii="Times New Roman" w:eastAsia="宋体"/>
          <w:color w:val="000000"/>
          <w:szCs w:val="21"/>
          <w:lang w:val="en-US"/>
        </w:rPr>
        <w:t>GB/T 6682</w:t>
      </w:r>
      <w:r>
        <w:rPr>
          <w:rFonts w:hint="eastAsia" w:ascii="Times New Roman" w:eastAsia="宋体"/>
          <w:color w:val="000000"/>
          <w:szCs w:val="21"/>
        </w:rPr>
        <w:t>中二级水的要求；</w:t>
      </w:r>
    </w:p>
    <w:p>
      <w:pPr>
        <w:pStyle w:val="14"/>
        <w:spacing w:line="240" w:lineRule="auto"/>
        <w:ind w:left="630" w:leftChars="300" w:firstLine="216" w:firstLineChars="103"/>
        <w:rPr>
          <w:rFonts w:ascii="Times New Roman" w:eastAsia="宋体"/>
          <w:color w:val="000000"/>
          <w:szCs w:val="21"/>
        </w:rPr>
      </w:pPr>
      <w:r>
        <w:rPr>
          <w:rFonts w:hint="eastAsia" w:ascii="Times New Roman" w:eastAsia="宋体"/>
          <w:color w:val="000000"/>
          <w:szCs w:val="21"/>
        </w:rPr>
        <w:t>4）</w:t>
      </w:r>
      <w:r>
        <w:rPr>
          <w:rFonts w:ascii="Times New Roman" w:eastAsia="宋体"/>
          <w:color w:val="000000"/>
          <w:szCs w:val="21"/>
        </w:rPr>
        <w:t xml:space="preserve"> </w:t>
      </w:r>
      <w:r>
        <w:rPr>
          <w:rFonts w:hint="eastAsia" w:ascii="Times New Roman" w:eastAsia="宋体"/>
          <w:color w:val="000000"/>
          <w:szCs w:val="21"/>
        </w:rPr>
        <w:t>0.85</w:t>
      </w:r>
      <w:r>
        <w:rPr>
          <w:rFonts w:hint="eastAsia" w:ascii="Times New Roman" w:eastAsia="宋体"/>
          <w:color w:val="000000"/>
          <w:szCs w:val="21"/>
          <w:lang w:val="en-US"/>
        </w:rPr>
        <w:t xml:space="preserve"> </w:t>
      </w:r>
      <w:r>
        <w:rPr>
          <w:rFonts w:hint="eastAsia" w:ascii="Times New Roman" w:eastAsia="宋体"/>
          <w:color w:val="000000"/>
          <w:szCs w:val="21"/>
        </w:rPr>
        <w:t>%无菌生理盐水稀释液，8.5g氯化钠加入1000mL蒸馏水中，搅拌至完全溶解，分装后，121℃灭菌15min，备用；</w:t>
      </w:r>
    </w:p>
    <w:p>
      <w:pPr>
        <w:pStyle w:val="14"/>
        <w:spacing w:line="240" w:lineRule="auto"/>
        <w:ind w:firstLine="851"/>
        <w:rPr>
          <w:rFonts w:ascii="Times New Roman" w:eastAsia="宋体"/>
          <w:color w:val="000000"/>
          <w:szCs w:val="21"/>
        </w:rPr>
      </w:pPr>
      <w:r>
        <w:rPr>
          <w:rFonts w:hint="eastAsia" w:ascii="Times New Roman" w:eastAsia="宋体"/>
          <w:color w:val="000000"/>
          <w:szCs w:val="21"/>
        </w:rPr>
        <w:t>5）</w:t>
      </w:r>
      <w:r>
        <w:rPr>
          <w:rFonts w:ascii="Times New Roman" w:eastAsia="宋体"/>
          <w:color w:val="000000"/>
          <w:szCs w:val="21"/>
        </w:rPr>
        <w:t xml:space="preserve"> </w:t>
      </w:r>
      <w:r>
        <w:rPr>
          <w:rFonts w:hint="eastAsia" w:ascii="Times New Roman" w:eastAsia="宋体"/>
          <w:color w:val="000000"/>
          <w:szCs w:val="21"/>
        </w:rPr>
        <w:t>无菌均质袋，最大容量400mL。</w:t>
      </w:r>
    </w:p>
    <w:p>
      <w:pPr>
        <w:pStyle w:val="14"/>
        <w:spacing w:line="240" w:lineRule="auto"/>
        <w:ind w:firstLine="0"/>
        <w:rPr>
          <w:rFonts w:ascii="Times New Roman" w:eastAsia="宋体"/>
          <w:color w:val="000000"/>
          <w:szCs w:val="21"/>
        </w:rPr>
      </w:pP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样品前处理</w:t>
      </w:r>
    </w:p>
    <w:p>
      <w:pPr>
        <w:pStyle w:val="14"/>
        <w:spacing w:line="240" w:lineRule="auto"/>
        <w:ind w:firstLine="0"/>
        <w:rPr>
          <w:rFonts w:ascii="黑体" w:hAnsi="黑体" w:eastAsia="黑体"/>
          <w:color w:val="000000"/>
          <w:szCs w:val="21"/>
        </w:rPr>
      </w:pPr>
      <w:r>
        <w:rPr>
          <w:rFonts w:hint="eastAsia" w:ascii="黑体" w:hAnsi="黑体" w:eastAsia="黑体"/>
          <w:color w:val="000000"/>
          <w:szCs w:val="21"/>
        </w:rPr>
        <w:t>4.3.1液态乳的处理</w:t>
      </w:r>
    </w:p>
    <w:p>
      <w:pPr>
        <w:pStyle w:val="14"/>
        <w:spacing w:line="240" w:lineRule="auto"/>
        <w:rPr>
          <w:rFonts w:ascii="Times New Roman" w:eastAsia="宋体"/>
          <w:color w:val="000000"/>
          <w:szCs w:val="21"/>
        </w:rPr>
      </w:pPr>
      <w:r>
        <w:rPr>
          <w:rFonts w:hint="eastAsia" w:ascii="Times New Roman" w:eastAsia="宋体"/>
          <w:color w:val="000000"/>
          <w:szCs w:val="21"/>
        </w:rPr>
        <w:t>将检样充分摇匀，取25 mL（g）检样，放入装有225 mL灭菌0.85</w:t>
      </w:r>
      <w:r>
        <w:rPr>
          <w:rFonts w:hint="eastAsia" w:ascii="Times New Roman" w:eastAsia="宋体"/>
          <w:color w:val="000000"/>
          <w:szCs w:val="21"/>
          <w:lang w:val="en-US"/>
        </w:rPr>
        <w:t xml:space="preserve"> </w:t>
      </w:r>
      <w:r>
        <w:rPr>
          <w:rFonts w:hint="eastAsia" w:ascii="Times New Roman" w:eastAsia="宋体"/>
          <w:color w:val="000000"/>
          <w:szCs w:val="21"/>
        </w:rPr>
        <w:t>%无菌生理盐水无菌容器（如无菌锥形瓶、无菌塑料罐）中，振摇均匀，摇匀时尽可能避免泡沫产生，</w:t>
      </w:r>
      <w:r>
        <w:rPr>
          <w:rFonts w:hint="eastAsia" w:ascii="Times New Roman" w:eastAsia="宋体"/>
          <w:color w:val="000000"/>
          <w:szCs w:val="21"/>
          <w:lang w:val="en-US"/>
        </w:rPr>
        <w:t>制成1∶10的样品匀液</w:t>
      </w:r>
      <w:r>
        <w:rPr>
          <w:rFonts w:hint="eastAsia" w:ascii="Times New Roman" w:eastAsia="宋体"/>
          <w:color w:val="000000"/>
          <w:szCs w:val="21"/>
        </w:rPr>
        <w:t>。</w:t>
      </w:r>
    </w:p>
    <w:p>
      <w:pPr>
        <w:pStyle w:val="14"/>
        <w:spacing w:line="240" w:lineRule="auto"/>
        <w:ind w:firstLine="0"/>
        <w:rPr>
          <w:rFonts w:ascii="黑体" w:hAnsi="黑体" w:eastAsia="黑体"/>
          <w:color w:val="000000"/>
          <w:szCs w:val="21"/>
          <w:lang w:val="en-US"/>
        </w:rPr>
      </w:pPr>
      <w:r>
        <w:rPr>
          <w:rFonts w:hint="eastAsia" w:ascii="黑体" w:hAnsi="黑体" w:eastAsia="黑体"/>
          <w:color w:val="000000"/>
          <w:szCs w:val="21"/>
          <w:lang w:val="en-US"/>
        </w:rPr>
        <w:t>4.3.2半固体乳制品</w:t>
      </w:r>
    </w:p>
    <w:p>
      <w:pPr>
        <w:pStyle w:val="14"/>
        <w:spacing w:line="240" w:lineRule="auto"/>
        <w:ind w:firstLine="0"/>
        <w:rPr>
          <w:rFonts w:ascii="Times New Roman" w:eastAsia="宋体"/>
          <w:color w:val="000000"/>
          <w:szCs w:val="21"/>
          <w:lang w:val="en-US"/>
        </w:rPr>
      </w:pPr>
      <w:r>
        <w:rPr>
          <w:rFonts w:ascii="黑体" w:hAnsi="黑体" w:eastAsia="黑体"/>
          <w:color w:val="000000"/>
          <w:szCs w:val="21"/>
          <w:lang w:val="en-US"/>
        </w:rPr>
        <w:t>4.</w:t>
      </w:r>
      <w:r>
        <w:rPr>
          <w:rFonts w:hint="eastAsia" w:ascii="黑体" w:hAnsi="黑体" w:eastAsia="黑体"/>
          <w:color w:val="000000"/>
          <w:szCs w:val="21"/>
          <w:lang w:val="en-US"/>
        </w:rPr>
        <w:t>3</w:t>
      </w:r>
      <w:r>
        <w:rPr>
          <w:rFonts w:ascii="黑体" w:hAnsi="黑体" w:eastAsia="黑体"/>
          <w:color w:val="000000"/>
          <w:szCs w:val="21"/>
          <w:lang w:val="en-US"/>
        </w:rPr>
        <w:t>.2.1</w:t>
      </w:r>
      <w:r>
        <w:rPr>
          <w:rFonts w:hint="eastAsia" w:ascii="Times New Roman" w:eastAsia="宋体"/>
          <w:color w:val="000000"/>
          <w:szCs w:val="21"/>
          <w:lang w:val="en-US"/>
        </w:rPr>
        <w:t xml:space="preserve"> 用75</w:t>
      </w:r>
      <w:r>
        <w:rPr>
          <w:rFonts w:ascii="Times New Roman" w:eastAsia="宋体"/>
          <w:color w:val="000000"/>
          <w:szCs w:val="21"/>
          <w:lang w:val="en-US"/>
        </w:rPr>
        <w:t xml:space="preserve"> </w:t>
      </w:r>
      <w:r>
        <w:rPr>
          <w:rFonts w:hint="eastAsia" w:ascii="Times New Roman" w:eastAsia="宋体"/>
          <w:color w:val="000000"/>
          <w:szCs w:val="21"/>
          <w:lang w:val="en-US"/>
        </w:rPr>
        <w:t>%酒精棉球消毒瓶或罐口周围, 以无菌操作方式，用无菌剪刀或者是无菌开罐器打开瓶或罐，无菌操作称取25 g检样, 放入预热至45℃±1℃的装有225 mL</w:t>
      </w:r>
      <w:r>
        <w:rPr>
          <w:rFonts w:hint="eastAsia" w:ascii="Times New Roman" w:eastAsia="宋体"/>
          <w:color w:val="000000"/>
          <w:szCs w:val="21"/>
        </w:rPr>
        <w:t>灭菌0.85</w:t>
      </w:r>
      <w:r>
        <w:rPr>
          <w:rFonts w:hint="eastAsia" w:ascii="Times New Roman" w:eastAsia="宋体"/>
          <w:color w:val="000000"/>
          <w:szCs w:val="21"/>
          <w:lang w:val="en-US"/>
        </w:rPr>
        <w:t xml:space="preserve"> </w:t>
      </w:r>
      <w:r>
        <w:rPr>
          <w:rFonts w:hint="eastAsia" w:ascii="Times New Roman" w:eastAsia="宋体"/>
          <w:color w:val="000000"/>
          <w:szCs w:val="21"/>
        </w:rPr>
        <w:t>%无菌生理盐水</w:t>
      </w:r>
      <w:r>
        <w:rPr>
          <w:rFonts w:hint="eastAsia" w:ascii="Times New Roman" w:eastAsia="宋体"/>
          <w:color w:val="000000"/>
          <w:szCs w:val="21"/>
          <w:lang w:val="en-US"/>
        </w:rPr>
        <w:t>的无菌容器（如</w:t>
      </w:r>
      <w:r>
        <w:rPr>
          <w:rFonts w:hint="eastAsia" w:ascii="Times New Roman" w:eastAsia="宋体"/>
          <w:color w:val="000000"/>
          <w:szCs w:val="21"/>
        </w:rPr>
        <w:t>无菌锥形瓶、无菌塑料罐</w:t>
      </w:r>
      <w:r>
        <w:rPr>
          <w:rFonts w:hint="eastAsia" w:ascii="Times New Roman" w:eastAsia="宋体"/>
          <w:color w:val="000000"/>
          <w:szCs w:val="21"/>
          <w:lang w:val="en-US"/>
        </w:rPr>
        <w:t>）中，振摇均匀，制成1∶10的样品匀液。</w:t>
      </w:r>
    </w:p>
    <w:p>
      <w:pPr>
        <w:pStyle w:val="14"/>
        <w:spacing w:line="240" w:lineRule="auto"/>
        <w:ind w:firstLine="0"/>
        <w:rPr>
          <w:rFonts w:ascii="Times New Roman" w:eastAsia="宋体"/>
          <w:color w:val="000000"/>
          <w:szCs w:val="21"/>
          <w:lang w:val="en-US"/>
        </w:rPr>
      </w:pPr>
      <w:bookmarkStart w:id="8" w:name="OLE_LINK3"/>
      <w:r>
        <w:rPr>
          <w:rFonts w:ascii="黑体" w:hAnsi="黑体" w:eastAsia="黑体"/>
          <w:color w:val="000000"/>
          <w:szCs w:val="21"/>
          <w:lang w:val="en-US"/>
        </w:rPr>
        <w:t>4.</w:t>
      </w:r>
      <w:r>
        <w:rPr>
          <w:rFonts w:hint="eastAsia" w:ascii="黑体" w:hAnsi="黑体" w:eastAsia="黑体"/>
          <w:color w:val="000000"/>
          <w:szCs w:val="21"/>
          <w:lang w:val="en-US"/>
        </w:rPr>
        <w:t>3.2</w:t>
      </w:r>
      <w:r>
        <w:rPr>
          <w:rFonts w:ascii="黑体" w:hAnsi="黑体" w:eastAsia="黑体"/>
          <w:color w:val="000000"/>
          <w:szCs w:val="21"/>
          <w:lang w:val="en-US"/>
        </w:rPr>
        <w:t>.2</w:t>
      </w:r>
      <w:r>
        <w:rPr>
          <w:rFonts w:hint="eastAsia" w:ascii="Times New Roman" w:eastAsia="宋体"/>
          <w:color w:val="000000"/>
          <w:szCs w:val="21"/>
          <w:lang w:val="en-US"/>
        </w:rPr>
        <w:t xml:space="preserve"> 使用均质袋时，使用均质器拍打1~2</w:t>
      </w:r>
      <w:r>
        <w:rPr>
          <w:rFonts w:ascii="Times New Roman" w:eastAsia="宋体"/>
          <w:color w:val="000000"/>
          <w:szCs w:val="21"/>
          <w:lang w:val="en-US"/>
        </w:rPr>
        <w:t xml:space="preserve"> </w:t>
      </w:r>
      <w:r>
        <w:rPr>
          <w:rFonts w:hint="eastAsia" w:ascii="Times New Roman" w:eastAsia="宋体"/>
          <w:color w:val="000000"/>
          <w:szCs w:val="21"/>
          <w:lang w:val="en-US"/>
        </w:rPr>
        <w:t>mins，制成1∶10的样品匀液。</w:t>
      </w:r>
    </w:p>
    <w:bookmarkEnd w:id="8"/>
    <w:p>
      <w:pPr>
        <w:pStyle w:val="14"/>
        <w:spacing w:line="240" w:lineRule="auto"/>
        <w:ind w:firstLine="0"/>
        <w:rPr>
          <w:rFonts w:ascii="黑体" w:hAnsi="黑体" w:eastAsia="黑体"/>
          <w:color w:val="000000"/>
          <w:szCs w:val="21"/>
        </w:rPr>
      </w:pPr>
      <w:r>
        <w:rPr>
          <w:rFonts w:hint="eastAsia" w:ascii="黑体" w:hAnsi="黑体" w:eastAsia="黑体"/>
          <w:color w:val="000000"/>
          <w:szCs w:val="21"/>
        </w:rPr>
        <w:t>4.3.3 固态乳制品</w:t>
      </w:r>
    </w:p>
    <w:p>
      <w:pPr>
        <w:pStyle w:val="14"/>
        <w:spacing w:line="240" w:lineRule="auto"/>
        <w:ind w:firstLine="0"/>
        <w:rPr>
          <w:szCs w:val="21"/>
        </w:rPr>
      </w:pPr>
      <w:r>
        <w:rPr>
          <w:rFonts w:hint="eastAsia" w:ascii="黑体" w:hAnsi="黑体" w:eastAsia="黑体"/>
          <w:color w:val="000000"/>
          <w:szCs w:val="21"/>
          <w:lang w:val="en-US"/>
        </w:rPr>
        <w:t>4.3.3.1</w:t>
      </w:r>
      <w:r>
        <w:rPr>
          <w:rFonts w:ascii="Times New Roman" w:eastAsia="宋体"/>
          <w:color w:val="000000"/>
          <w:szCs w:val="21"/>
          <w:lang w:val="en-US"/>
        </w:rPr>
        <w:t xml:space="preserve"> </w:t>
      </w:r>
      <w:r>
        <w:rPr>
          <w:rFonts w:hint="eastAsia"/>
          <w:szCs w:val="21"/>
        </w:rPr>
        <w:t>干酪、再制干酪</w:t>
      </w:r>
    </w:p>
    <w:p>
      <w:pPr>
        <w:pStyle w:val="14"/>
        <w:spacing w:line="240" w:lineRule="auto"/>
        <w:rPr>
          <w:rFonts w:ascii="Times New Roman" w:eastAsia="宋体"/>
          <w:color w:val="000000"/>
          <w:szCs w:val="21"/>
          <w:lang w:val="en-US"/>
        </w:rPr>
      </w:pPr>
      <w:r>
        <w:rPr>
          <w:rFonts w:hint="eastAsia"/>
          <w:szCs w:val="21"/>
        </w:rPr>
        <w:t>以无菌操作打开外包装后，用灭菌刀（勺）从表层和深层分别取出有代表性的适量样品，称取</w:t>
      </w:r>
      <w:r>
        <w:rPr>
          <w:rFonts w:ascii="Times New Roman"/>
          <w:szCs w:val="21"/>
        </w:rPr>
        <w:t>25 g</w:t>
      </w:r>
      <w:r>
        <w:rPr>
          <w:rFonts w:hint="eastAsia"/>
          <w:szCs w:val="21"/>
        </w:rPr>
        <w:t>检样，放入预热到</w:t>
      </w:r>
      <w:r>
        <w:rPr>
          <w:rFonts w:ascii="Times New Roman"/>
          <w:szCs w:val="21"/>
        </w:rPr>
        <w:t xml:space="preserve">45 </w:t>
      </w:r>
      <w:r>
        <w:rPr>
          <w:rFonts w:hint="eastAsia"/>
          <w:szCs w:val="21"/>
        </w:rPr>
        <w:t>℃的装有</w:t>
      </w:r>
      <w:r>
        <w:rPr>
          <w:rFonts w:ascii="Times New Roman"/>
          <w:szCs w:val="21"/>
        </w:rPr>
        <w:t>225 mL</w:t>
      </w:r>
      <w:r>
        <w:rPr>
          <w:rFonts w:hint="eastAsia" w:ascii="Times New Roman" w:eastAsia="宋体"/>
          <w:color w:val="000000"/>
          <w:szCs w:val="21"/>
        </w:rPr>
        <w:t>灭菌0.85</w:t>
      </w:r>
      <w:r>
        <w:rPr>
          <w:rFonts w:hint="eastAsia" w:ascii="Times New Roman" w:eastAsia="宋体"/>
          <w:color w:val="000000"/>
          <w:szCs w:val="21"/>
          <w:lang w:val="en-US"/>
        </w:rPr>
        <w:t xml:space="preserve"> </w:t>
      </w:r>
      <w:r>
        <w:rPr>
          <w:rFonts w:hint="eastAsia" w:ascii="Times New Roman" w:eastAsia="宋体"/>
          <w:color w:val="000000"/>
          <w:szCs w:val="21"/>
        </w:rPr>
        <w:t>%无菌生理盐水</w:t>
      </w:r>
      <w:r>
        <w:rPr>
          <w:rFonts w:hint="eastAsia" w:ascii="Times New Roman" w:eastAsia="宋体"/>
          <w:color w:val="000000"/>
          <w:szCs w:val="21"/>
          <w:lang w:val="en-US"/>
        </w:rPr>
        <w:t>的</w:t>
      </w:r>
      <w:r>
        <w:rPr>
          <w:rFonts w:hint="eastAsia"/>
          <w:szCs w:val="21"/>
        </w:rPr>
        <w:t>无菌容器</w:t>
      </w:r>
      <w:bookmarkStart w:id="9" w:name="_Hlk81320476"/>
      <w:r>
        <w:rPr>
          <w:rFonts w:hint="eastAsia" w:ascii="Times New Roman" w:eastAsia="宋体"/>
          <w:color w:val="000000"/>
          <w:szCs w:val="21"/>
        </w:rPr>
        <w:t>（如无菌锥形瓶、无菌塑料罐）</w:t>
      </w:r>
      <w:bookmarkEnd w:id="9"/>
      <w:r>
        <w:rPr>
          <w:rFonts w:hint="eastAsia"/>
          <w:szCs w:val="21"/>
        </w:rPr>
        <w:t>中，</w:t>
      </w:r>
      <w:r>
        <w:rPr>
          <w:rFonts w:hint="eastAsia" w:ascii="Times New Roman" w:eastAsia="宋体"/>
          <w:color w:val="000000"/>
          <w:szCs w:val="21"/>
          <w:lang w:val="en-US"/>
        </w:rPr>
        <w:t>振摇均匀，制成1∶10的样品匀液。</w:t>
      </w:r>
    </w:p>
    <w:p>
      <w:pPr>
        <w:pStyle w:val="14"/>
        <w:spacing w:line="240" w:lineRule="auto"/>
        <w:ind w:firstLine="0"/>
        <w:rPr>
          <w:rFonts w:ascii="Times New Roman" w:eastAsia="宋体"/>
          <w:color w:val="000000"/>
          <w:szCs w:val="21"/>
          <w:lang w:val="en-US"/>
        </w:rPr>
      </w:pPr>
      <w:r>
        <w:rPr>
          <w:rFonts w:ascii="黑体" w:hAnsi="黑体" w:eastAsia="黑体"/>
          <w:color w:val="000000"/>
          <w:szCs w:val="21"/>
          <w:lang w:val="en-US"/>
        </w:rPr>
        <w:t>4.</w:t>
      </w:r>
      <w:r>
        <w:rPr>
          <w:rFonts w:hint="eastAsia" w:ascii="黑体" w:hAnsi="黑体" w:eastAsia="黑体"/>
          <w:color w:val="000000"/>
          <w:szCs w:val="21"/>
          <w:lang w:val="en-US"/>
        </w:rPr>
        <w:t>3.2</w:t>
      </w:r>
      <w:r>
        <w:rPr>
          <w:rFonts w:ascii="黑体" w:hAnsi="黑体" w:eastAsia="黑体"/>
          <w:color w:val="000000"/>
          <w:szCs w:val="21"/>
          <w:lang w:val="en-US"/>
        </w:rPr>
        <w:t>.2</w:t>
      </w:r>
      <w:r>
        <w:rPr>
          <w:rFonts w:hint="eastAsia" w:ascii="Times New Roman" w:eastAsia="宋体"/>
          <w:color w:val="000000"/>
          <w:szCs w:val="21"/>
          <w:lang w:val="en-US"/>
        </w:rPr>
        <w:t xml:space="preserve"> 使用均质袋时，使用均质器</w:t>
      </w:r>
      <w:r>
        <w:rPr>
          <w:rFonts w:hint="eastAsia" w:ascii="Times New Roman" w:eastAsia="宋体"/>
          <w:color w:val="000000" w:themeColor="text1"/>
          <w:szCs w:val="21"/>
          <w:lang w:val="en-US"/>
          <w14:textFill>
            <w14:solidFill>
              <w14:schemeClr w14:val="tx1"/>
            </w14:solidFill>
          </w14:textFill>
        </w:rPr>
        <w:t>拍打</w:t>
      </w:r>
      <w:r>
        <w:rPr>
          <w:rFonts w:hint="eastAsia" w:ascii="Times New Roman" w:eastAsia="宋体"/>
          <w:color w:val="000000"/>
          <w:szCs w:val="21"/>
          <w:lang w:val="en-US"/>
        </w:rPr>
        <w:t>1min ~2min，制成1∶10的样品匀液。</w:t>
      </w:r>
    </w:p>
    <w:p>
      <w:pPr>
        <w:pStyle w:val="14"/>
        <w:spacing w:line="240" w:lineRule="auto"/>
        <w:ind w:firstLine="0"/>
        <w:rPr>
          <w:rFonts w:ascii="Times New Roman" w:eastAsia="宋体"/>
          <w:color w:val="000000"/>
          <w:szCs w:val="21"/>
          <w:lang w:val="en-US"/>
        </w:rPr>
      </w:pPr>
      <w:r>
        <w:rPr>
          <w:rFonts w:ascii="黑体" w:hAnsi="黑体" w:eastAsia="黑体"/>
          <w:color w:val="000000"/>
          <w:szCs w:val="21"/>
          <w:lang w:val="en-US"/>
        </w:rPr>
        <w:t>4.</w:t>
      </w:r>
      <w:r>
        <w:rPr>
          <w:rFonts w:hint="eastAsia" w:ascii="黑体" w:hAnsi="黑体" w:eastAsia="黑体"/>
          <w:color w:val="000000"/>
          <w:szCs w:val="21"/>
          <w:lang w:val="en-US"/>
        </w:rPr>
        <w:t>3.4</w:t>
      </w:r>
      <w:r>
        <w:rPr>
          <w:rFonts w:hint="eastAsia" w:ascii="黑体" w:hAnsi="黑体" w:eastAsia="黑体" w:cs="黑体"/>
          <w:color w:val="000000"/>
          <w:szCs w:val="21"/>
          <w:lang w:val="en-US"/>
        </w:rPr>
        <w:t>乳粉、乳清粉和乳清蛋白粉</w:t>
      </w:r>
    </w:p>
    <w:p>
      <w:pPr>
        <w:pStyle w:val="14"/>
        <w:spacing w:line="240" w:lineRule="auto"/>
        <w:rPr>
          <w:rFonts w:ascii="Times New Roman" w:eastAsia="宋体"/>
          <w:color w:val="000000"/>
          <w:szCs w:val="21"/>
          <w:lang w:val="en-US"/>
        </w:rPr>
      </w:pPr>
      <w:r>
        <w:rPr>
          <w:rFonts w:hint="eastAsia" w:ascii="Times New Roman" w:eastAsia="宋体"/>
          <w:color w:val="000000"/>
          <w:szCs w:val="21"/>
          <w:lang w:val="en-US"/>
        </w:rPr>
        <w:t>罐装乳粉的开罐取样法同4.3.2.1, 袋装奶粉用75</w:t>
      </w:r>
      <w:r>
        <w:rPr>
          <w:rFonts w:ascii="Times New Roman" w:eastAsia="宋体"/>
          <w:color w:val="000000"/>
          <w:szCs w:val="21"/>
          <w:lang w:val="en-US"/>
        </w:rPr>
        <w:t xml:space="preserve"> </w:t>
      </w:r>
      <w:r>
        <w:rPr>
          <w:rFonts w:hint="eastAsia" w:ascii="Times New Roman" w:eastAsia="宋体"/>
          <w:color w:val="000000"/>
          <w:szCs w:val="21"/>
          <w:lang w:val="en-US"/>
        </w:rPr>
        <w:t>%酒精的棉球涂擦消毒袋口后开封，以无菌操作称取检样25 g，缓慢加入预热到45 ℃的225 mL</w:t>
      </w:r>
      <w:r>
        <w:rPr>
          <w:rFonts w:hint="eastAsia" w:ascii="Times New Roman" w:eastAsia="宋体"/>
          <w:color w:val="000000"/>
          <w:szCs w:val="21"/>
        </w:rPr>
        <w:t>灭菌0.85</w:t>
      </w:r>
      <w:r>
        <w:rPr>
          <w:rFonts w:hint="eastAsia" w:ascii="Times New Roman" w:eastAsia="宋体"/>
          <w:color w:val="000000"/>
          <w:szCs w:val="21"/>
          <w:lang w:val="en-US"/>
        </w:rPr>
        <w:t xml:space="preserve"> </w:t>
      </w:r>
      <w:r>
        <w:rPr>
          <w:rFonts w:hint="eastAsia" w:ascii="Times New Roman" w:eastAsia="宋体"/>
          <w:color w:val="000000"/>
          <w:szCs w:val="21"/>
        </w:rPr>
        <w:t>%无菌生理盐水</w:t>
      </w:r>
      <w:r>
        <w:rPr>
          <w:rFonts w:hint="eastAsia" w:ascii="Times New Roman" w:eastAsia="宋体"/>
          <w:color w:val="000000"/>
          <w:szCs w:val="21"/>
          <w:lang w:val="en-US"/>
        </w:rPr>
        <w:t>液面上 （切勿混匀，</w:t>
      </w:r>
      <w:r>
        <w:rPr>
          <w:rFonts w:hint="eastAsia" w:ascii="Times New Roman" w:eastAsia="宋体"/>
          <w:color w:val="000000"/>
          <w:szCs w:val="21"/>
        </w:rPr>
        <w:t>无菌容器可选择无菌锥形瓶、无菌塑料罐），</w:t>
      </w:r>
      <w:r>
        <w:rPr>
          <w:rFonts w:hint="eastAsia" w:ascii="Times New Roman" w:eastAsia="宋体"/>
          <w:color w:val="000000"/>
          <w:szCs w:val="21"/>
          <w:lang w:val="en-US"/>
        </w:rPr>
        <w:t>拧紧瓶盖，室温静置 1 h 充分混匀后检验。</w:t>
      </w:r>
    </w:p>
    <w:p>
      <w:pPr>
        <w:pStyle w:val="14"/>
        <w:spacing w:line="240" w:lineRule="auto"/>
        <w:rPr>
          <w:rFonts w:ascii="Times New Roman" w:eastAsia="宋体"/>
        </w:rPr>
      </w:pPr>
      <w:r>
        <w:rPr>
          <w:rFonts w:hint="eastAsia" w:ascii="Times New Roman" w:eastAsia="宋体"/>
          <w:color w:val="000000"/>
          <w:szCs w:val="21"/>
        </w:rPr>
        <w:t>在没有注明其他要求时，本文件的样品前处理方法应符合G</w:t>
      </w:r>
      <w:r>
        <w:rPr>
          <w:rFonts w:ascii="Times New Roman" w:eastAsia="宋体"/>
          <w:color w:val="000000"/>
          <w:szCs w:val="21"/>
        </w:rPr>
        <w:t>B 4789</w:t>
      </w:r>
      <w:r>
        <w:rPr>
          <w:rFonts w:hint="eastAsia" w:ascii="Times New Roman" w:eastAsia="宋体"/>
          <w:color w:val="000000"/>
          <w:szCs w:val="21"/>
        </w:rPr>
        <w:t>.</w:t>
      </w:r>
      <w:r>
        <w:rPr>
          <w:rFonts w:ascii="Times New Roman" w:eastAsia="宋体"/>
          <w:color w:val="000000"/>
          <w:szCs w:val="21"/>
        </w:rPr>
        <w:t>18</w:t>
      </w:r>
      <w:r>
        <w:rPr>
          <w:rFonts w:hint="eastAsia" w:ascii="Times New Roman" w:eastAsia="宋体"/>
          <w:color w:val="000000"/>
          <w:szCs w:val="21"/>
        </w:rPr>
        <w:t>规定</w:t>
      </w:r>
      <w:r>
        <w:rPr>
          <w:rFonts w:ascii="Times New Roman" w:eastAsia="宋体"/>
        </w:rPr>
        <w:t>。</w:t>
      </w:r>
    </w:p>
    <w:p>
      <w:pPr>
        <w:pStyle w:val="15"/>
        <w:numPr>
          <w:ilvl w:val="0"/>
          <w:numId w:val="1"/>
        </w:numPr>
        <w:snapToGrid w:val="0"/>
        <w:spacing w:before="240" w:after="240"/>
        <w:rPr>
          <w:rFonts w:ascii="Times New Roman"/>
          <w:szCs w:val="22"/>
        </w:rPr>
      </w:pPr>
      <w:bookmarkStart w:id="10" w:name="_Toc6405_WPSOffice_Level2"/>
      <w:r>
        <w:rPr>
          <w:rFonts w:ascii="Times New Roman"/>
          <w:szCs w:val="22"/>
        </w:rPr>
        <w:t>试验方法</w:t>
      </w:r>
      <w:bookmarkEnd w:id="10"/>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黑体" w:hAnsi="黑体" w:eastAsia="黑体"/>
        </w:rPr>
      </w:pPr>
      <w:r>
        <w:rPr>
          <w:rFonts w:hint="eastAsia" w:ascii="黑体" w:hAnsi="黑体" w:eastAsia="黑体"/>
          <w:color w:val="000000"/>
          <w:szCs w:val="21"/>
        </w:rPr>
        <w:t>产品适用性测试</w:t>
      </w:r>
    </w:p>
    <w:p>
      <w:pPr>
        <w:pStyle w:val="14"/>
        <w:spacing w:line="240" w:lineRule="auto"/>
        <w:rPr>
          <w:rFonts w:ascii="Times New Roman" w:eastAsia="宋体"/>
        </w:rPr>
      </w:pPr>
      <w:r>
        <w:rPr>
          <w:rFonts w:hint="eastAsia" w:ascii="Times New Roman" w:eastAsia="宋体"/>
          <w:color w:val="000000"/>
          <w:szCs w:val="21"/>
        </w:rPr>
        <w:t>供试产品第一次使用本方法或其配方等发生变化可能影响检验结果时，首先需进行产品适用性测试</w:t>
      </w:r>
      <w:r>
        <w:rPr>
          <w:rFonts w:hint="eastAsia" w:ascii="Times New Roman" w:eastAsia="宋体"/>
        </w:rPr>
        <w:t>，产品适用性测试流程参见附录A。符合乳或乳制品适用性测试要求的乳或乳制品可按照以下步骤进行检验。</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黑体" w:hAnsi="黑体" w:eastAsia="黑体"/>
        </w:rPr>
      </w:pPr>
      <w:r>
        <w:rPr>
          <w:rFonts w:hint="eastAsia" w:ascii="黑体" w:hAnsi="黑体" w:eastAsia="黑体"/>
          <w:color w:val="000000"/>
          <w:szCs w:val="21"/>
        </w:rPr>
        <w:t>样品稀释倍数和加样体积</w:t>
      </w:r>
    </w:p>
    <w:p>
      <w:pPr>
        <w:pStyle w:val="14"/>
        <w:spacing w:line="240" w:lineRule="auto"/>
        <w:rPr>
          <w:rFonts w:ascii="Times New Roman" w:eastAsia="宋体"/>
          <w:color w:val="000000"/>
          <w:szCs w:val="21"/>
        </w:rPr>
      </w:pPr>
      <w:r>
        <w:rPr>
          <w:rFonts w:hint="eastAsia" w:ascii="Times New Roman" w:eastAsia="宋体"/>
          <w:color w:val="000000"/>
          <w:szCs w:val="21"/>
        </w:rPr>
        <w:t>产品霉菌和酵母限量标准</w:t>
      </w:r>
      <w:bookmarkStart w:id="11" w:name="OLE_LINK4"/>
      <w:r>
        <w:rPr>
          <w:rFonts w:hint="eastAsia" w:ascii="Times New Roman" w:eastAsia="宋体"/>
          <w:color w:val="000000"/>
          <w:szCs w:val="21"/>
        </w:rPr>
        <w:t>（cfu/g或cfu</w:t>
      </w:r>
      <w:r>
        <w:rPr>
          <w:rFonts w:ascii="Times New Roman" w:eastAsia="宋体"/>
          <w:color w:val="000000"/>
          <w:szCs w:val="21"/>
        </w:rPr>
        <w:t>/mL</w:t>
      </w:r>
      <w:r>
        <w:rPr>
          <w:rFonts w:hint="eastAsia" w:ascii="Times New Roman" w:eastAsia="宋体"/>
          <w:color w:val="000000"/>
          <w:szCs w:val="21"/>
        </w:rPr>
        <w:t>）</w:t>
      </w:r>
      <w:bookmarkEnd w:id="11"/>
      <w:r>
        <w:rPr>
          <w:rFonts w:hint="eastAsia" w:ascii="Times New Roman" w:eastAsia="宋体"/>
          <w:color w:val="000000"/>
          <w:szCs w:val="21"/>
        </w:rPr>
        <w:t>、样品稀释倍数和加样体积（mL）三者应满足公式（1）的关系：</w:t>
      </w:r>
    </w:p>
    <w:p>
      <w:pPr>
        <w:pStyle w:val="14"/>
        <w:spacing w:line="240" w:lineRule="auto"/>
        <w:jc w:val="right"/>
        <w:rPr>
          <w:rFonts w:ascii="Times New Roman" w:eastAsia="宋体"/>
          <w:color w:val="000000"/>
          <w:szCs w:val="21"/>
        </w:rPr>
      </w:pPr>
      <m:oMath>
        <m:r>
          <m:rPr/>
          <w:rPr>
            <w:rFonts w:ascii="Cambria Math" w:hAnsi="Cambria Math" w:eastAsia="宋体"/>
            <w:color w:val="000000"/>
            <w:szCs w:val="21"/>
          </w:rPr>
          <m:t>d=S×I</m:t>
        </m:r>
      </m:oMath>
      <w:r>
        <w:rPr>
          <w:rFonts w:ascii="Times New Roman" w:eastAsia="宋体"/>
          <w:color w:val="000000"/>
          <w:szCs w:val="21"/>
        </w:rPr>
        <w:t xml:space="preserve">                </w:t>
      </w:r>
      <w:r>
        <w:rPr>
          <w:rFonts w:hint="eastAsia" w:ascii="Times New Roman" w:eastAsia="宋体"/>
          <w:color w:val="000000"/>
          <w:szCs w:val="21"/>
        </w:rPr>
        <w:t>………………………………（1）</w:t>
      </w:r>
    </w:p>
    <w:p>
      <w:pPr>
        <w:pStyle w:val="14"/>
        <w:spacing w:line="240" w:lineRule="auto"/>
        <w:rPr>
          <w:rFonts w:ascii="Times New Roman" w:eastAsia="宋体"/>
          <w:color w:val="000000"/>
          <w:szCs w:val="21"/>
        </w:rPr>
      </w:pPr>
      <w:bookmarkStart w:id="12" w:name="_Hlk80018707"/>
      <w:r>
        <w:rPr>
          <w:rFonts w:hint="eastAsia" w:ascii="Times New Roman" w:eastAsia="宋体"/>
          <w:color w:val="000000"/>
          <w:szCs w:val="21"/>
        </w:rPr>
        <w:t>式中：</w:t>
      </w:r>
    </w:p>
    <w:p>
      <w:pPr>
        <w:pStyle w:val="14"/>
        <w:spacing w:line="240" w:lineRule="auto"/>
        <w:rPr>
          <w:rFonts w:ascii="Times New Roman" w:eastAsia="宋体"/>
          <w:color w:val="000000"/>
          <w:szCs w:val="21"/>
        </w:rPr>
      </w:pPr>
      <w:r>
        <w:rPr>
          <w:rFonts w:ascii="Times New Roman" w:eastAsia="宋体"/>
          <w:color w:val="000000"/>
          <w:szCs w:val="21"/>
        </w:rPr>
        <w:t xml:space="preserve">d </w:t>
      </w:r>
      <w:r>
        <w:rPr>
          <w:rFonts w:hint="eastAsia" w:ascii="Times New Roman" w:eastAsia="宋体"/>
          <w:color w:val="000000"/>
          <w:szCs w:val="21"/>
        </w:rPr>
        <w:t>——样品稀释倍数</w:t>
      </w:r>
    </w:p>
    <w:p>
      <w:pPr>
        <w:pStyle w:val="14"/>
        <w:spacing w:line="240" w:lineRule="auto"/>
        <w:rPr>
          <w:rFonts w:ascii="Times New Roman" w:eastAsia="宋体"/>
          <w:color w:val="000000"/>
          <w:szCs w:val="21"/>
        </w:rPr>
      </w:pPr>
      <w:r>
        <w:rPr>
          <w:rFonts w:hint="eastAsia" w:ascii="Times New Roman" w:eastAsia="宋体"/>
          <w:i/>
          <w:iCs/>
          <w:color w:val="000000"/>
          <w:szCs w:val="21"/>
        </w:rPr>
        <w:t>S</w:t>
      </w:r>
      <w:r>
        <w:rPr>
          <w:rFonts w:ascii="Times New Roman" w:eastAsia="宋体"/>
          <w:color w:val="000000"/>
          <w:szCs w:val="21"/>
        </w:rPr>
        <w:t xml:space="preserve"> </w:t>
      </w:r>
      <w:r>
        <w:rPr>
          <w:rFonts w:hint="eastAsia" w:ascii="Times New Roman" w:eastAsia="宋体"/>
          <w:color w:val="000000"/>
          <w:szCs w:val="21"/>
        </w:rPr>
        <w:t>——产品霉菌和酵母限量标准（cfu/g或cfu</w:t>
      </w:r>
      <w:r>
        <w:rPr>
          <w:rFonts w:ascii="Times New Roman" w:eastAsia="宋体"/>
          <w:color w:val="000000"/>
          <w:szCs w:val="21"/>
        </w:rPr>
        <w:t>/mL</w:t>
      </w:r>
      <w:r>
        <w:rPr>
          <w:rFonts w:hint="eastAsia" w:ascii="Times New Roman" w:eastAsia="宋体"/>
          <w:color w:val="000000"/>
          <w:szCs w:val="21"/>
        </w:rPr>
        <w:t>）</w:t>
      </w:r>
    </w:p>
    <w:p>
      <w:pPr>
        <w:pStyle w:val="14"/>
        <w:spacing w:line="240" w:lineRule="auto"/>
        <w:rPr>
          <w:rFonts w:ascii="Times New Roman" w:eastAsia="宋体"/>
          <w:color w:val="000000"/>
          <w:szCs w:val="21"/>
        </w:rPr>
      </w:pPr>
      <w:r>
        <w:rPr>
          <w:rFonts w:hint="eastAsia" w:ascii="Times New Roman" w:eastAsia="宋体"/>
          <w:i/>
          <w:iCs/>
          <w:color w:val="000000"/>
          <w:szCs w:val="21"/>
        </w:rPr>
        <w:t>I</w:t>
      </w:r>
      <w:r>
        <w:rPr>
          <w:rFonts w:ascii="Times New Roman" w:eastAsia="宋体"/>
          <w:color w:val="000000"/>
          <w:szCs w:val="21"/>
        </w:rPr>
        <w:t xml:space="preserve"> </w:t>
      </w:r>
      <w:r>
        <w:rPr>
          <w:rFonts w:hint="eastAsia" w:ascii="Times New Roman" w:eastAsia="宋体"/>
          <w:color w:val="000000"/>
          <w:szCs w:val="21"/>
        </w:rPr>
        <w:t>——加样体积（mL）</w:t>
      </w:r>
    </w:p>
    <w:p>
      <w:pPr>
        <w:pStyle w:val="14"/>
        <w:spacing w:line="240" w:lineRule="auto"/>
        <w:rPr>
          <w:rFonts w:ascii="黑体" w:hAnsi="黑体" w:eastAsia="黑体"/>
          <w:color w:val="000000"/>
          <w:szCs w:val="21"/>
        </w:rPr>
      </w:pPr>
      <w:r>
        <w:rPr>
          <w:rFonts w:hint="eastAsia" w:ascii="黑体" w:hAnsi="黑体" w:eastAsia="黑体"/>
          <w:color w:val="000000"/>
          <w:szCs w:val="21"/>
        </w:rPr>
        <w:t>示例：</w:t>
      </w:r>
    </w:p>
    <w:bookmarkEnd w:id="12"/>
    <w:p>
      <w:pPr>
        <w:pStyle w:val="14"/>
        <w:spacing w:line="240" w:lineRule="auto"/>
        <w:rPr>
          <w:rFonts w:ascii="Times New Roman" w:eastAsia="宋体"/>
          <w:color w:val="000000"/>
          <w:szCs w:val="21"/>
        </w:rPr>
      </w:pPr>
      <w:r>
        <w:rPr>
          <w:rFonts w:hint="eastAsia" w:ascii="Times New Roman" w:eastAsia="宋体"/>
          <w:color w:val="000000"/>
          <w:szCs w:val="21"/>
        </w:rPr>
        <w:t xml:space="preserve"> </w:t>
      </w:r>
      <w:r>
        <w:rPr>
          <w:rFonts w:ascii="Times New Roman" w:eastAsia="宋体"/>
          <w:color w:val="000000"/>
          <w:szCs w:val="21"/>
        </w:rPr>
        <w:t xml:space="preserve">            </w:t>
      </w:r>
      <w:r>
        <w:rPr>
          <w:rFonts w:hint="eastAsia" w:ascii="Times New Roman" w:eastAsia="宋体"/>
          <w:color w:val="000000"/>
          <w:szCs w:val="21"/>
        </w:rPr>
        <w:t>表1常见的</w:t>
      </w:r>
      <w:r>
        <w:rPr>
          <w:rFonts w:hint="eastAsia" w:ascii="Times New Roman" w:eastAsia="宋体"/>
          <w:szCs w:val="21"/>
        </w:rPr>
        <w:t>稀释倍数和加样体积组合</w:t>
      </w:r>
    </w:p>
    <w:tbl>
      <w:tblPr>
        <w:tblStyle w:val="5"/>
        <w:tblW w:w="0" w:type="auto"/>
        <w:tblInd w:w="6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9"/>
        <w:gridCol w:w="1940"/>
        <w:gridCol w:w="2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3439"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霉菌和酵母限量标准</w:t>
            </w:r>
          </w:p>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（cfu/g或cfu</w:t>
            </w:r>
            <w:r>
              <w:rPr>
                <w:rFonts w:ascii="Times New Roman" w:eastAsia="宋体"/>
                <w:color w:val="000000"/>
                <w:szCs w:val="21"/>
              </w:rPr>
              <w:t>/mL</w:t>
            </w:r>
            <w:r>
              <w:rPr>
                <w:rFonts w:hint="eastAsia" w:ascii="Times New Roman" w:eastAsia="宋体"/>
                <w:color w:val="000000"/>
                <w:szCs w:val="21"/>
              </w:rPr>
              <w:t>）</w:t>
            </w:r>
          </w:p>
        </w:tc>
        <w:tc>
          <w:tcPr>
            <w:tcW w:w="194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乳制品稀释倍数</w:t>
            </w:r>
          </w:p>
        </w:tc>
        <w:tc>
          <w:tcPr>
            <w:tcW w:w="256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加样体积（mL）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3439" w:type="dxa"/>
            <w:shd w:val="clear" w:color="auto" w:fill="auto"/>
          </w:tcPr>
          <w:p>
            <w:pPr>
              <w:pStyle w:val="14"/>
              <w:spacing w:line="240" w:lineRule="auto"/>
              <w:ind w:firstLine="0"/>
              <w:jc w:val="center"/>
              <w:rPr>
                <w:rFonts w:ascii="Times New Roman" w:eastAsia="宋体"/>
                <w:color w:val="000000"/>
                <w:szCs w:val="21"/>
              </w:rPr>
            </w:pPr>
            <w:bookmarkStart w:id="13" w:name="OLE_LINK2"/>
            <w:r>
              <w:rPr>
                <w:rFonts w:hint="eastAsia" w:ascii="DengXian" w:hAnsi="DengXian" w:cs="Calibri Light"/>
                <w:sz w:val="20"/>
              </w:rPr>
              <w:t>&lt;</w:t>
            </w:r>
            <w:r>
              <w:rPr>
                <w:rFonts w:hint="eastAsia" w:ascii="Times New Roman" w:eastAsia="宋体"/>
                <w:color w:val="000000"/>
                <w:szCs w:val="21"/>
              </w:rPr>
              <w:t>10</w:t>
            </w:r>
            <w:bookmarkEnd w:id="13"/>
          </w:p>
        </w:tc>
        <w:tc>
          <w:tcPr>
            <w:tcW w:w="194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10</w:t>
            </w:r>
          </w:p>
        </w:tc>
        <w:tc>
          <w:tcPr>
            <w:tcW w:w="256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3439" w:type="dxa"/>
            <w:shd w:val="clear" w:color="auto" w:fill="auto"/>
          </w:tcPr>
          <w:p>
            <w:pPr>
              <w:pStyle w:val="14"/>
              <w:spacing w:line="240" w:lineRule="auto"/>
              <w:ind w:firstLine="0"/>
              <w:jc w:val="center"/>
              <w:rPr>
                <w:rFonts w:ascii="Times New Roman" w:eastAsia="宋体"/>
                <w:color w:val="000000"/>
                <w:szCs w:val="21"/>
              </w:rPr>
            </w:pPr>
            <w:r>
              <w:rPr>
                <w:rFonts w:hint="eastAsia" w:ascii="DengXian" w:hAnsi="DengXian" w:cs="Calibri Light"/>
                <w:sz w:val="20"/>
              </w:rPr>
              <w:t>&lt;</w:t>
            </w:r>
            <w:r>
              <w:rPr>
                <w:rFonts w:hint="eastAsia" w:ascii="Times New Roman" w:eastAsia="宋体"/>
                <w:color w:val="000000"/>
                <w:szCs w:val="21"/>
              </w:rPr>
              <w:t>50</w:t>
            </w:r>
          </w:p>
        </w:tc>
        <w:tc>
          <w:tcPr>
            <w:tcW w:w="194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10</w:t>
            </w:r>
          </w:p>
        </w:tc>
        <w:tc>
          <w:tcPr>
            <w:tcW w:w="256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3439" w:type="dxa"/>
            <w:shd w:val="clear" w:color="auto" w:fill="auto"/>
          </w:tcPr>
          <w:p>
            <w:pPr>
              <w:pStyle w:val="14"/>
              <w:spacing w:line="240" w:lineRule="auto"/>
              <w:ind w:firstLine="0"/>
              <w:jc w:val="center"/>
              <w:rPr>
                <w:rFonts w:ascii="Times New Roman" w:eastAsia="宋体"/>
                <w:color w:val="000000"/>
                <w:szCs w:val="21"/>
              </w:rPr>
            </w:pPr>
            <w:r>
              <w:rPr>
                <w:rFonts w:hint="eastAsia" w:ascii="DengXian" w:hAnsi="DengXian" w:cs="Calibri Light"/>
                <w:sz w:val="20"/>
              </w:rPr>
              <w:t>&lt;1</w:t>
            </w:r>
            <w:r>
              <w:rPr>
                <w:rFonts w:hint="eastAsia" w:ascii="Times New Roman" w:eastAsia="宋体"/>
                <w:color w:val="000000"/>
                <w:szCs w:val="21"/>
              </w:rPr>
              <w:t>00</w:t>
            </w:r>
          </w:p>
        </w:tc>
        <w:tc>
          <w:tcPr>
            <w:tcW w:w="194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100</w:t>
            </w:r>
          </w:p>
        </w:tc>
        <w:tc>
          <w:tcPr>
            <w:tcW w:w="2560" w:type="dxa"/>
            <w:shd w:val="clear" w:color="auto" w:fill="auto"/>
          </w:tcPr>
          <w:p>
            <w:pPr>
              <w:pStyle w:val="14"/>
              <w:spacing w:line="240" w:lineRule="auto"/>
              <w:ind w:firstLine="0"/>
              <w:jc w:val="center"/>
              <w:rPr>
                <w:rFonts w:ascii="Times New Roman" w:eastAsia="宋体"/>
                <w:color w:val="000000"/>
                <w:szCs w:val="21"/>
              </w:rPr>
            </w:pPr>
            <w:r>
              <w:rPr>
                <w:rFonts w:hint="eastAsia" w:ascii="Times New Roman" w:eastAsia="宋体"/>
                <w:color w:val="000000"/>
                <w:szCs w:val="21"/>
              </w:rPr>
              <w:t>1</w:t>
            </w:r>
          </w:p>
        </w:tc>
      </w:tr>
    </w:tbl>
    <w:p>
      <w:pPr>
        <w:pStyle w:val="14"/>
        <w:spacing w:line="240" w:lineRule="auto"/>
        <w:rPr>
          <w:rFonts w:ascii="Times New Roman" w:eastAsia="黑体"/>
        </w:rPr>
      </w:pP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hint="eastAsia" w:ascii="黑体" w:hAnsi="黑体" w:eastAsia="黑体" w:cs="黑体"/>
        </w:rPr>
      </w:pPr>
      <w:r>
        <w:rPr>
          <w:rFonts w:hint="eastAsia" w:ascii="黑体" w:hAnsi="黑体" w:eastAsia="黑体" w:cs="黑体"/>
          <w:color w:val="000000"/>
          <w:szCs w:val="21"/>
        </w:rPr>
        <w:t>测试瓶准备</w:t>
      </w:r>
    </w:p>
    <w:p>
      <w:pPr>
        <w:pStyle w:val="14"/>
        <w:spacing w:line="240" w:lineRule="auto"/>
        <w:rPr>
          <w:rFonts w:hint="eastAsia" w:ascii="Times New Roman" w:eastAsia="宋体"/>
        </w:rPr>
      </w:pPr>
      <w:r>
        <w:rPr>
          <w:rFonts w:hint="eastAsia" w:ascii="Times New Roman" w:eastAsia="宋体"/>
          <w:color w:val="000000"/>
          <w:szCs w:val="21"/>
        </w:rPr>
        <w:t>用10</w:t>
      </w:r>
      <w:r>
        <w:rPr>
          <w:rFonts w:hint="eastAsia" w:ascii="Times New Roman" w:eastAsia="宋体"/>
          <w:color w:val="000000"/>
          <w:szCs w:val="21"/>
          <w:lang w:val="en-US"/>
        </w:rPr>
        <w:t xml:space="preserve"> </w:t>
      </w:r>
      <w:r>
        <w:rPr>
          <w:rFonts w:hint="eastAsia" w:ascii="Times New Roman" w:eastAsia="宋体"/>
          <w:color w:val="000000"/>
          <w:szCs w:val="21"/>
        </w:rPr>
        <w:t>mL无菌水溶解测试瓶补充物，随后向测试瓶中加入溶解后的补充物</w:t>
      </w:r>
      <w:r>
        <w:rPr>
          <w:rFonts w:hint="eastAsia" w:ascii="Times New Roman" w:eastAsia="宋体"/>
        </w:rPr>
        <w:t>，若供测乳制品不含有活性乳酸菌，添加量为0.15mL；若供测乳制品含有活性乳酸菌，添加量为0.6</w:t>
      </w:r>
      <w:r>
        <w:rPr>
          <w:rFonts w:hint="eastAsia" w:ascii="Times New Roman" w:eastAsia="宋体"/>
          <w:lang w:val="en-US"/>
        </w:rPr>
        <w:t xml:space="preserve"> </w:t>
      </w:r>
      <w:r>
        <w:rPr>
          <w:rFonts w:hint="eastAsia" w:ascii="Times New Roman" w:eastAsia="宋体"/>
        </w:rPr>
        <w:t>mL。准备好的测试瓶</w:t>
      </w:r>
      <w:r>
        <w:rPr>
          <w:rFonts w:hint="eastAsia" w:ascii="Times New Roman" w:hAnsi="Times New Roman"/>
          <w:szCs w:val="21"/>
        </w:rPr>
        <w:t>(</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eastAsia="宋体"/>
        </w:rPr>
        <w:t>应在2小时内加入样品匀液。</w:t>
      </w:r>
    </w:p>
    <w:p>
      <w:pPr>
        <w:pStyle w:val="14"/>
        <w:spacing w:line="240" w:lineRule="auto"/>
        <w:rPr>
          <w:rFonts w:hint="eastAsia" w:ascii="Times New Roman" w:eastAsia="宋体"/>
        </w:rPr>
      </w:pPr>
    </w:p>
    <w:p>
      <w:pPr>
        <w:pStyle w:val="14"/>
        <w:numPr>
          <w:ilvl w:val="1"/>
          <w:numId w:val="1"/>
        </w:numPr>
        <w:spacing w:line="240" w:lineRule="auto"/>
        <w:rPr>
          <w:rFonts w:ascii="Times New Roman" w:eastAsia="宋体"/>
        </w:rPr>
      </w:pPr>
      <w:r>
        <w:rPr>
          <w:rFonts w:hint="eastAsia" w:ascii="黑体" w:hAnsi="黑体" w:eastAsia="黑体" w:cs="黑体"/>
        </w:rPr>
        <w:t>加样与上机</w:t>
      </w:r>
    </w:p>
    <w:p>
      <w:pPr>
        <w:pStyle w:val="14"/>
        <w:spacing w:line="240" w:lineRule="auto"/>
        <w:rPr>
          <w:rFonts w:ascii="Times New Roman" w:eastAsia="宋体"/>
        </w:rPr>
      </w:pPr>
      <w:r>
        <w:rPr>
          <w:rFonts w:hint="eastAsia" w:ascii="Times New Roman" w:eastAsia="宋体"/>
        </w:rPr>
        <w:t>参照5.2方法测算加样体积后，将样品匀液加入测试瓶</w:t>
      </w:r>
      <w:r>
        <w:rPr>
          <w:rFonts w:hint="eastAsia" w:ascii="Times New Roman" w:hAnsi="Times New Roman"/>
          <w:szCs w:val="21"/>
        </w:rPr>
        <w:t>(</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eastAsia="宋体"/>
        </w:rPr>
        <w:t>。旋紧测试瓶瓶盖，轻轻上下颠倒混匀，放入</w:t>
      </w:r>
      <w:r>
        <w:rPr>
          <w:rFonts w:hint="eastAsia" w:ascii="Times New Roman" w:hAnsi="Times New Roman"/>
          <w:szCs w:val="21"/>
        </w:rPr>
        <w:t>(</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eastAsia="宋体"/>
        </w:rPr>
        <w:t>微生物快检系统中的样品孔。在控制软件中，选择对应孔位，开始测试。</w:t>
      </w:r>
    </w:p>
    <w:p>
      <w:pPr>
        <w:pStyle w:val="15"/>
        <w:numPr>
          <w:ilvl w:val="0"/>
          <w:numId w:val="1"/>
        </w:numPr>
        <w:snapToGrid w:val="0"/>
        <w:spacing w:before="240" w:after="240"/>
        <w:rPr>
          <w:rFonts w:ascii="Times New Roman"/>
          <w:szCs w:val="22"/>
        </w:rPr>
      </w:pPr>
      <w:r>
        <w:rPr>
          <w:rFonts w:hint="eastAsia" w:ascii="Times New Roman"/>
          <w:szCs w:val="22"/>
        </w:rPr>
        <w:t>软件设置</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电子记录通用要求</w:t>
      </w:r>
    </w:p>
    <w:p>
      <w:pPr>
        <w:pStyle w:val="14"/>
        <w:spacing w:line="240" w:lineRule="auto"/>
        <w:rPr>
          <w:rFonts w:ascii="Times New Roman" w:eastAsia="宋体"/>
        </w:rPr>
      </w:pPr>
      <w:r>
        <w:rPr>
          <w:rFonts w:hint="eastAsia" w:ascii="Times New Roman" w:eastAsia="宋体"/>
          <w:szCs w:val="21"/>
        </w:rPr>
        <w:t>创建、修改、维护或导出的检验电子记录应符合</w:t>
      </w:r>
      <w:bookmarkStart w:id="14" w:name="OLE_LINK5"/>
      <w:r>
        <w:rPr>
          <w:rFonts w:ascii="Times New Roman" w:eastAsia="宋体"/>
        </w:rPr>
        <w:t>GB/T 30644</w:t>
      </w:r>
      <w:bookmarkEnd w:id="14"/>
      <w:r>
        <w:rPr>
          <w:rFonts w:hint="eastAsia" w:ascii="Times New Roman" w:eastAsia="宋体"/>
        </w:rPr>
        <w:t>中有关电子记录的通用要求。</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软件参数配置</w:t>
      </w:r>
    </w:p>
    <w:p>
      <w:pPr>
        <w:pStyle w:val="14"/>
        <w:widowControl/>
        <w:tabs>
          <w:tab w:val="center" w:pos="4201"/>
          <w:tab w:val="right" w:leader="dot" w:pos="9298"/>
        </w:tabs>
        <w:autoSpaceDE w:val="0"/>
        <w:autoSpaceDN w:val="0"/>
        <w:spacing w:before="120" w:beforeLines="50" w:after="120" w:afterLines="50" w:line="240" w:lineRule="auto"/>
        <w:rPr>
          <w:rFonts w:ascii="Times New Roman" w:eastAsia="宋体"/>
          <w:color w:val="FF0000"/>
        </w:rPr>
      </w:pPr>
      <w:r>
        <w:rPr>
          <w:rFonts w:hint="eastAsia" w:ascii="Times New Roman" w:eastAsia="宋体"/>
        </w:rPr>
        <w:t>应根据产品特征以及霉菌和酵母限量标准配置软件参数。</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样品信息输入、开始测试</w:t>
      </w:r>
    </w:p>
    <w:p>
      <w:pPr>
        <w:pStyle w:val="14"/>
        <w:widowControl/>
        <w:tabs>
          <w:tab w:val="center" w:pos="4201"/>
          <w:tab w:val="right" w:leader="dot" w:pos="9298"/>
        </w:tabs>
        <w:autoSpaceDE w:val="0"/>
        <w:autoSpaceDN w:val="0"/>
        <w:spacing w:before="120" w:beforeLines="50" w:after="120" w:afterLines="50" w:line="240" w:lineRule="auto"/>
        <w:rPr>
          <w:rFonts w:ascii="Times New Roman" w:eastAsia="宋体"/>
        </w:rPr>
      </w:pPr>
      <w:r>
        <w:rPr>
          <w:rFonts w:hint="eastAsia" w:ascii="Times New Roman" w:eastAsia="宋体"/>
        </w:rPr>
        <w:t>在软件中的网格视图栏目中，单击相应产品下的霉菌和酵母测试模块，拖入相应孔位，在打开的对话框中输入样品信息，点击开始，控制软件判定测试瓶存在后，自动开始记录数据。</w:t>
      </w:r>
    </w:p>
    <w:p>
      <w:pPr>
        <w:pStyle w:val="14"/>
        <w:widowControl/>
        <w:numPr>
          <w:ilvl w:val="1"/>
          <w:numId w:val="1"/>
        </w:numPr>
        <w:tabs>
          <w:tab w:val="center" w:pos="4201"/>
          <w:tab w:val="right" w:leader="dot" w:pos="9298"/>
        </w:tabs>
        <w:autoSpaceDE w:val="0"/>
        <w:autoSpaceDN w:val="0"/>
        <w:spacing w:before="120" w:beforeLines="50" w:after="120" w:afterLines="50" w:line="240" w:lineRule="auto"/>
        <w:rPr>
          <w:rFonts w:ascii="Times New Roman" w:eastAsia="黑体"/>
        </w:rPr>
      </w:pPr>
      <w:r>
        <w:rPr>
          <w:rFonts w:hint="eastAsia" w:ascii="Times New Roman" w:eastAsia="黑体"/>
        </w:rPr>
        <w:t>结果判定</w:t>
      </w:r>
    </w:p>
    <w:p>
      <w:pPr>
        <w:pStyle w:val="14"/>
        <w:numPr>
          <w:ilvl w:val="2"/>
          <w:numId w:val="1"/>
        </w:numPr>
        <w:spacing w:line="240" w:lineRule="auto"/>
        <w:rPr>
          <w:rFonts w:ascii="Times New Roman" w:eastAsia="宋体"/>
          <w:color w:val="000000"/>
          <w:szCs w:val="21"/>
        </w:rPr>
      </w:pPr>
      <w:r>
        <w:rPr>
          <w:rFonts w:hint="eastAsia" w:ascii="Times New Roman" w:eastAsia="宋体"/>
          <w:szCs w:val="21"/>
        </w:rPr>
        <w:t>若软件</w:t>
      </w:r>
      <w:r>
        <w:rPr>
          <w:rFonts w:hint="eastAsia" w:ascii="Times New Roman" w:eastAsia="宋体"/>
          <w:color w:val="000000"/>
          <w:szCs w:val="21"/>
        </w:rPr>
        <w:t>电子报告输出的结果与预先设定的产品限量标准一致，且测试瓶下底部颜色</w:t>
      </w:r>
      <w:r>
        <w:rPr>
          <w:rFonts w:ascii="Times New Roman" w:eastAsia="宋体"/>
          <w:color w:val="000000"/>
          <w:szCs w:val="21"/>
        </w:rPr>
        <w:t>无变化</w:t>
      </w:r>
      <w:r>
        <w:rPr>
          <w:rFonts w:hint="eastAsia" w:ascii="Times New Roman" w:eastAsia="宋体"/>
          <w:color w:val="000000"/>
          <w:szCs w:val="21"/>
        </w:rPr>
        <w:t>，则判定产品符合相应</w:t>
      </w:r>
      <w:r>
        <w:rPr>
          <w:rFonts w:ascii="Times New Roman" w:eastAsia="宋体"/>
          <w:color w:val="000000"/>
          <w:szCs w:val="21"/>
        </w:rPr>
        <w:t>产品</w:t>
      </w:r>
      <w:r>
        <w:rPr>
          <w:rFonts w:hint="eastAsia" w:ascii="Times New Roman" w:eastAsia="宋体"/>
          <w:color w:val="000000"/>
          <w:szCs w:val="21"/>
        </w:rPr>
        <w:t>标准。</w:t>
      </w:r>
    </w:p>
    <w:p>
      <w:pPr>
        <w:pStyle w:val="14"/>
        <w:numPr>
          <w:ilvl w:val="2"/>
          <w:numId w:val="1"/>
        </w:numPr>
        <w:spacing w:line="240" w:lineRule="auto"/>
        <w:rPr>
          <w:rFonts w:ascii="Times New Roman" w:eastAsia="宋体"/>
          <w:color w:val="000000"/>
          <w:szCs w:val="21"/>
        </w:rPr>
      </w:pPr>
      <w:r>
        <w:rPr>
          <w:rFonts w:hint="eastAsia" w:ascii="Times New Roman" w:eastAsia="宋体"/>
          <w:szCs w:val="21"/>
        </w:rPr>
        <w:t>若软件</w:t>
      </w:r>
      <w:r>
        <w:rPr>
          <w:rFonts w:hint="eastAsia" w:ascii="Times New Roman" w:eastAsia="宋体"/>
          <w:color w:val="000000"/>
          <w:szCs w:val="21"/>
        </w:rPr>
        <w:t>电子报告提示样品霉菌和酵母检测结果超标，且测试瓶下底部由绿变黄，应采用G</w:t>
      </w:r>
      <w:r>
        <w:rPr>
          <w:rFonts w:ascii="Times New Roman" w:eastAsia="宋体"/>
          <w:color w:val="000000"/>
          <w:szCs w:val="21"/>
        </w:rPr>
        <w:t>B 4789.15</w:t>
      </w:r>
      <w:r>
        <w:rPr>
          <w:rFonts w:hint="eastAsia" w:ascii="Times New Roman" w:eastAsia="宋体"/>
          <w:color w:val="000000"/>
          <w:szCs w:val="21"/>
        </w:rPr>
        <w:t>检验方法对同一样品进行确认，以G</w:t>
      </w:r>
      <w:r>
        <w:rPr>
          <w:rFonts w:ascii="Times New Roman" w:eastAsia="宋体"/>
          <w:color w:val="000000"/>
          <w:szCs w:val="21"/>
        </w:rPr>
        <w:t>B 4789.15</w:t>
      </w:r>
      <w:r>
        <w:rPr>
          <w:rFonts w:hint="eastAsia" w:ascii="Times New Roman" w:eastAsia="宋体"/>
          <w:color w:val="000000"/>
          <w:szCs w:val="21"/>
        </w:rPr>
        <w:t xml:space="preserve">的结果作为最终结果。 </w:t>
      </w:r>
      <w:r>
        <w:rPr>
          <w:rFonts w:ascii="Times New Roman" w:eastAsia="宋体"/>
          <w:color w:val="000000"/>
          <w:szCs w:val="21"/>
        </w:rPr>
        <w:t xml:space="preserve"> </w:t>
      </w:r>
    </w:p>
    <w:p>
      <w:pPr>
        <w:pStyle w:val="14"/>
        <w:spacing w:line="240" w:lineRule="auto"/>
        <w:ind w:firstLine="0"/>
        <w:rPr>
          <w:rFonts w:ascii="Times New Roman" w:eastAsia="宋体"/>
        </w:rPr>
      </w:pPr>
    </w:p>
    <w:p>
      <w:pPr>
        <w:pStyle w:val="14"/>
        <w:spacing w:line="240" w:lineRule="auto"/>
        <w:ind w:firstLine="0"/>
        <w:rPr>
          <w:rFonts w:ascii="Times New Roman" w:eastAsia="宋体"/>
        </w:rPr>
        <w:sectPr>
          <w:footerReference r:id="rId11" w:type="first"/>
          <w:headerReference r:id="rId9" w:type="default"/>
          <w:footerReference r:id="rId10" w:type="default"/>
          <w:pgSz w:w="11905" w:h="16838"/>
          <w:pgMar w:top="1701" w:right="1701" w:bottom="1701" w:left="1701" w:header="850" w:footer="992" w:gutter="0"/>
          <w:pgNumType w:fmt="decimal" w:start="1"/>
          <w:cols w:space="0" w:num="1"/>
          <w:formProt w:val="0"/>
          <w:titlePg/>
          <w:docGrid w:linePitch="312" w:charSpace="0"/>
        </w:sectPr>
      </w:pPr>
    </w:p>
    <w:p>
      <w:pPr>
        <w:pStyle w:val="14"/>
        <w:spacing w:line="240" w:lineRule="auto"/>
        <w:ind w:firstLine="0"/>
        <w:rPr>
          <w:rFonts w:ascii="Times New Roman" w:eastAsia="宋体"/>
        </w:rPr>
      </w:pPr>
    </w:p>
    <w:p>
      <w:pPr>
        <w:snapToGrid w:val="0"/>
        <w:jc w:val="center"/>
        <w:rPr>
          <w:rFonts w:ascii="Times New Roman" w:hAnsi="Times New Roman" w:eastAsia="黑体"/>
          <w:szCs w:val="21"/>
        </w:rPr>
      </w:pPr>
      <w:r>
        <w:rPr>
          <w:rFonts w:ascii="Times New Roman" w:hAnsi="Times New Roman" w:eastAsia="黑体"/>
          <w:szCs w:val="21"/>
        </w:rPr>
        <w:t>附</w:t>
      </w:r>
      <w:r>
        <w:rPr>
          <w:rFonts w:hint="eastAsia" w:ascii="Times New Roman" w:hAnsi="Times New Roman" w:eastAsia="黑体"/>
          <w:szCs w:val="21"/>
        </w:rPr>
        <w:t xml:space="preserve"> </w:t>
      </w:r>
      <w:r>
        <w:rPr>
          <w:rFonts w:ascii="Times New Roman" w:hAnsi="Times New Roman" w:eastAsia="黑体"/>
          <w:szCs w:val="21"/>
        </w:rPr>
        <w:t xml:space="preserve"> 录</w:t>
      </w:r>
      <w:r>
        <w:rPr>
          <w:rFonts w:hint="eastAsia" w:ascii="Times New Roman" w:hAnsi="Times New Roman" w:eastAsia="黑体"/>
          <w:szCs w:val="21"/>
        </w:rPr>
        <w:t xml:space="preserve"> </w:t>
      </w:r>
      <w:r>
        <w:rPr>
          <w:rFonts w:ascii="Times New Roman" w:hAnsi="Times New Roman" w:eastAsia="黑体"/>
          <w:szCs w:val="21"/>
        </w:rPr>
        <w:t xml:space="preserve"> A</w:t>
      </w:r>
    </w:p>
    <w:p>
      <w:pPr>
        <w:snapToGrid w:val="0"/>
        <w:jc w:val="center"/>
        <w:rPr>
          <w:rFonts w:ascii="Times New Roman" w:hAnsi="Times New Roman" w:eastAsia="黑体"/>
          <w:szCs w:val="21"/>
        </w:rPr>
      </w:pPr>
      <w:bookmarkStart w:id="15" w:name="_Toc13370_WPSOffice_Level2"/>
      <w:r>
        <w:rPr>
          <w:rFonts w:ascii="Times New Roman" w:hAnsi="Times New Roman" w:eastAsia="黑体"/>
          <w:szCs w:val="21"/>
        </w:rPr>
        <w:t>（</w:t>
      </w:r>
      <w:r>
        <w:rPr>
          <w:rFonts w:hint="eastAsia" w:ascii="Times New Roman" w:hAnsi="Times New Roman" w:eastAsia="黑体"/>
          <w:szCs w:val="21"/>
        </w:rPr>
        <w:t>资料性</w:t>
      </w:r>
      <w:r>
        <w:rPr>
          <w:rFonts w:ascii="Times New Roman" w:hAnsi="Times New Roman" w:eastAsia="黑体"/>
          <w:szCs w:val="21"/>
        </w:rPr>
        <w:t>附录）</w:t>
      </w:r>
      <w:bookmarkEnd w:id="15"/>
    </w:p>
    <w:p>
      <w:pPr>
        <w:snapToGrid w:val="0"/>
        <w:jc w:val="center"/>
        <w:rPr>
          <w:rFonts w:ascii="Times New Roman" w:hAnsi="Times New Roman" w:eastAsia="黑体"/>
          <w:szCs w:val="21"/>
        </w:rPr>
      </w:pPr>
      <w:r>
        <w:rPr>
          <w:rFonts w:hint="eastAsia" w:ascii="Times New Roman" w:hAnsi="Times New Roman" w:eastAsia="黑体"/>
          <w:szCs w:val="21"/>
        </w:rPr>
        <w:t>产品适用性测试</w:t>
      </w:r>
    </w:p>
    <w:p>
      <w:pPr>
        <w:snapToGrid w:val="0"/>
        <w:jc w:val="center"/>
        <w:rPr>
          <w:rFonts w:ascii="Times New Roman" w:hAnsi="Times New Roman" w:eastAsia="黑体"/>
          <w:szCs w:val="21"/>
        </w:rPr>
      </w:pPr>
    </w:p>
    <w:p>
      <w:pPr>
        <w:snapToGrid w:val="0"/>
        <w:jc w:val="center"/>
        <w:rPr>
          <w:rFonts w:ascii="Times New Roman" w:hAnsi="Times New Roman" w:eastAsia="黑体"/>
          <w:szCs w:val="21"/>
        </w:rPr>
      </w:pPr>
      <w:bookmarkStart w:id="16" w:name="_Toc25092_WPSOffice_Level2"/>
      <w:r>
        <w:rPr>
          <w:rFonts w:hint="eastAsia" w:ascii="Times New Roman" w:hAnsi="Times New Roman" w:eastAsia="黑体"/>
          <w:szCs w:val="21"/>
        </w:rPr>
        <w:t xml:space="preserve">                               </w:t>
      </w:r>
      <w:bookmarkEnd w:id="16"/>
    </w:p>
    <w:p>
      <w:pPr>
        <w:snapToGrid w:val="0"/>
        <w:jc w:val="center"/>
        <w:rPr>
          <w:rFonts w:ascii="Times New Roman" w:hAnsi="Times New Roman" w:eastAsia="黑体"/>
          <w:color w:val="000000"/>
          <w:szCs w:val="21"/>
        </w:rPr>
      </w:pPr>
    </w:p>
    <w:p>
      <w:pPr>
        <w:rPr>
          <w:rFonts w:ascii="Times New Roman" w:hAnsi="Times New Roman"/>
          <w:szCs w:val="21"/>
        </w:rPr>
      </w:pPr>
      <w:r>
        <w:rPr>
          <w:rFonts w:ascii="Times New Roman" w:hAnsi="Times New Roman" w:eastAsia="黑体"/>
          <w:szCs w:val="21"/>
        </w:rPr>
        <w:t>A.1</w:t>
      </w:r>
      <w:r>
        <w:rPr>
          <w:rFonts w:ascii="Times New Roman" w:hAnsi="Times New Roman"/>
          <w:szCs w:val="21"/>
        </w:rPr>
        <w:t xml:space="preserve">  </w:t>
      </w:r>
      <w:r>
        <w:rPr>
          <w:rFonts w:hint="eastAsia" w:ascii="Times New Roman" w:hAnsi="Times New Roman"/>
          <w:color w:val="000000"/>
          <w:szCs w:val="21"/>
        </w:rPr>
        <w:t>空白产品测试与判定</w:t>
      </w:r>
    </w:p>
    <w:p>
      <w:pPr>
        <w:ind w:firstLine="420" w:firstLineChars="200"/>
        <w:rPr>
          <w:rFonts w:ascii="Times New Roman" w:hAnsi="Times New Roman"/>
          <w:szCs w:val="21"/>
        </w:rPr>
      </w:pPr>
      <w:r>
        <w:rPr>
          <w:rFonts w:hint="eastAsia" w:ascii="Times New Roman" w:hAnsi="Times New Roman"/>
          <w:szCs w:val="21"/>
        </w:rPr>
        <w:t>取供试乳制品，参照本文件所示试验方法进行测试，根据所得曲线图类型，做出相应判断：</w:t>
      </w:r>
    </w:p>
    <w:p>
      <w:pPr>
        <w:ind w:left="210" w:leftChars="100"/>
        <w:rPr>
          <w:rFonts w:ascii="Times New Roman" w:hAnsi="Times New Roman"/>
          <w:szCs w:val="21"/>
        </w:rPr>
      </w:pPr>
      <w:r>
        <w:rPr>
          <w:rFonts w:hint="eastAsia" w:ascii="Times New Roman" w:hAnsi="Times New Roman"/>
          <w:szCs w:val="21"/>
        </w:rPr>
        <w:t>A</w:t>
      </w:r>
      <w:r>
        <w:rPr>
          <w:rFonts w:ascii="Times New Roman" w:hAnsi="Times New Roman"/>
          <w:szCs w:val="21"/>
        </w:rPr>
        <w:t xml:space="preserve"> 1.1</w:t>
      </w:r>
      <w:r>
        <w:rPr>
          <w:rFonts w:hint="eastAsia" w:ascii="Times New Roman" w:hAnsi="Times New Roman"/>
          <w:szCs w:val="21"/>
        </w:rPr>
        <w:t>曲线平直无明显上升趋势，</w:t>
      </w:r>
      <w:r>
        <w:rPr>
          <w:rFonts w:hint="eastAsia" w:ascii="Times New Roman"/>
          <w:szCs w:val="21"/>
        </w:rPr>
        <w:t>软件</w:t>
      </w:r>
      <w:r>
        <w:rPr>
          <w:rFonts w:hint="eastAsia" w:ascii="Times New Roman"/>
          <w:color w:val="000000"/>
          <w:szCs w:val="21"/>
        </w:rPr>
        <w:t>电子报告输出结果数据符合标准</w:t>
      </w:r>
      <w:r>
        <w:rPr>
          <w:rFonts w:hint="eastAsia" w:ascii="Times New Roman" w:hAnsi="Times New Roman"/>
          <w:szCs w:val="21"/>
        </w:rPr>
        <w:t>。判定该产品通过空白产品测试。</w:t>
      </w:r>
    </w:p>
    <w:p>
      <w:pPr>
        <w:ind w:left="210" w:leftChars="100"/>
        <w:rPr>
          <w:rFonts w:ascii="Times New Roman" w:hAnsi="Times New Roman"/>
          <w:szCs w:val="21"/>
        </w:rPr>
      </w:pPr>
      <w:r>
        <w:rPr>
          <w:rFonts w:ascii="Times New Roman" w:hAnsi="Times New Roman"/>
          <w:szCs w:val="21"/>
        </w:rPr>
        <w:t>A 1.2</w:t>
      </w:r>
      <w:r>
        <w:rPr>
          <w:rFonts w:hint="eastAsia" w:ascii="Times New Roman" w:hAnsi="Times New Roman"/>
          <w:szCs w:val="21"/>
        </w:rPr>
        <w:t>曲线前段有较缓上升趋势，</w:t>
      </w:r>
      <w:r>
        <w:rPr>
          <w:rFonts w:hint="eastAsia" w:ascii="Times New Roman"/>
          <w:szCs w:val="21"/>
        </w:rPr>
        <w:t>软件</w:t>
      </w:r>
      <w:r>
        <w:rPr>
          <w:rFonts w:hint="eastAsia" w:ascii="Times New Roman"/>
          <w:color w:val="000000"/>
          <w:szCs w:val="21"/>
        </w:rPr>
        <w:t>电子报告提示样品霉菌和酵母检测结果超标</w:t>
      </w:r>
      <w:r>
        <w:rPr>
          <w:rFonts w:hint="eastAsia" w:ascii="Times New Roman" w:hAnsi="Times New Roman"/>
          <w:szCs w:val="21"/>
        </w:rPr>
        <w:t>。取测试完成的测试瓶(</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hAnsi="Times New Roman"/>
          <w:szCs w:val="21"/>
        </w:rPr>
        <w:t>，取其全部上区培养基肉汤，参照G</w:t>
      </w:r>
      <w:r>
        <w:rPr>
          <w:rFonts w:ascii="Times New Roman" w:hAnsi="Times New Roman"/>
          <w:szCs w:val="21"/>
        </w:rPr>
        <w:t xml:space="preserve">B </w:t>
      </w:r>
      <w:r>
        <w:rPr>
          <w:rFonts w:hint="eastAsia" w:ascii="Times New Roman" w:hAnsi="Times New Roman"/>
          <w:szCs w:val="21"/>
        </w:rPr>
        <w:t>4789.15进行测定。若确认无</w:t>
      </w:r>
      <w:bookmarkStart w:id="17" w:name="OLE_LINK1"/>
      <w:r>
        <w:rPr>
          <w:rFonts w:hint="eastAsia" w:ascii="Times New Roman" w:hAnsi="Times New Roman"/>
          <w:szCs w:val="21"/>
        </w:rPr>
        <w:t>霉菌和酵母生长</w:t>
      </w:r>
      <w:bookmarkEnd w:id="17"/>
      <w:r>
        <w:rPr>
          <w:rFonts w:hint="eastAsia" w:ascii="Times New Roman" w:hAnsi="Times New Roman"/>
          <w:szCs w:val="21"/>
        </w:rPr>
        <w:t>，在控制软件上调整休眠时间直到算法无法再得到该曲线的检测时间，随后判定该产品通过空白产品测试。</w:t>
      </w:r>
    </w:p>
    <w:p>
      <w:pPr>
        <w:ind w:left="210" w:leftChars="100"/>
        <w:rPr>
          <w:rFonts w:ascii="Times New Roman" w:hAnsi="Times New Roman"/>
          <w:szCs w:val="21"/>
        </w:rPr>
      </w:pPr>
      <w:r>
        <w:rPr>
          <w:rFonts w:ascii="Times New Roman" w:hAnsi="Times New Roman"/>
          <w:szCs w:val="21"/>
        </w:rPr>
        <w:t>A1.3</w:t>
      </w:r>
      <w:r>
        <w:rPr>
          <w:rFonts w:hint="eastAsia" w:ascii="Times New Roman" w:hAnsi="Times New Roman"/>
          <w:szCs w:val="21"/>
        </w:rPr>
        <w:t>曲线有明显上升趋势，</w:t>
      </w:r>
      <w:r>
        <w:rPr>
          <w:rFonts w:hint="eastAsia" w:ascii="Times New Roman"/>
          <w:szCs w:val="21"/>
        </w:rPr>
        <w:t>软件</w:t>
      </w:r>
      <w:r>
        <w:rPr>
          <w:rFonts w:hint="eastAsia" w:ascii="Times New Roman"/>
          <w:color w:val="000000"/>
          <w:szCs w:val="21"/>
        </w:rPr>
        <w:t>电子报告提示样品霉菌和酵母检测结果超标</w:t>
      </w:r>
      <w:r>
        <w:rPr>
          <w:rFonts w:hint="eastAsia" w:ascii="Times New Roman" w:hAnsi="Times New Roman"/>
          <w:szCs w:val="21"/>
        </w:rPr>
        <w:t>。取测试完成的测试瓶(</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hAnsi="Times New Roman"/>
          <w:szCs w:val="21"/>
        </w:rPr>
        <w:t>，取其全部上区培养基肉汤，参照G</w:t>
      </w:r>
      <w:r>
        <w:rPr>
          <w:rFonts w:ascii="Times New Roman" w:hAnsi="Times New Roman"/>
          <w:szCs w:val="21"/>
        </w:rPr>
        <w:t xml:space="preserve">B </w:t>
      </w:r>
      <w:r>
        <w:rPr>
          <w:rFonts w:hint="eastAsia" w:ascii="Times New Roman" w:hAnsi="Times New Roman"/>
          <w:szCs w:val="21"/>
        </w:rPr>
        <w:t>4789.15进行测定。若确认有霉菌和酵母生长，则判定产品未通过空白产品测试。需要重新选取霉菌和酵母控制较好的其他批次的产品进行再次测定。</w:t>
      </w:r>
    </w:p>
    <w:p>
      <w:pPr>
        <w:rPr>
          <w:rFonts w:ascii="Times New Roman" w:hAnsi="Times New Roman"/>
          <w:color w:val="000000"/>
          <w:szCs w:val="21"/>
        </w:rPr>
      </w:pPr>
      <w:r>
        <w:rPr>
          <w:rFonts w:ascii="Times New Roman" w:hAnsi="Times New Roman"/>
          <w:szCs w:val="21"/>
        </w:rPr>
        <w:t xml:space="preserve">A.2  </w:t>
      </w:r>
      <w:r>
        <w:rPr>
          <w:rFonts w:hint="eastAsia" w:ascii="Times New Roman" w:hAnsi="Times New Roman"/>
          <w:color w:val="000000"/>
          <w:szCs w:val="21"/>
        </w:rPr>
        <w:t>加标产品测试与判定</w:t>
      </w:r>
    </w:p>
    <w:p>
      <w:pPr>
        <w:ind w:firstLine="420" w:firstLineChars="200"/>
        <w:rPr>
          <w:rFonts w:ascii="Times New Roman" w:hAnsi="Times New Roman"/>
          <w:szCs w:val="21"/>
        </w:rPr>
      </w:pPr>
      <w:r>
        <w:rPr>
          <w:rFonts w:hint="eastAsia" w:ascii="Times New Roman" w:hAnsi="Times New Roman"/>
          <w:color w:val="000000"/>
          <w:szCs w:val="21"/>
        </w:rPr>
        <w:t>取通过空白产品测试乳制品，分别接入酿酒酵母（</w:t>
      </w:r>
      <w:r>
        <w:rPr>
          <w:rFonts w:ascii="Times New Roman" w:hAnsi="Times New Roman"/>
          <w:color w:val="000000"/>
          <w:szCs w:val="21"/>
        </w:rPr>
        <w:t>ATCC 9763</w:t>
      </w:r>
      <w:r>
        <w:rPr>
          <w:rFonts w:hint="eastAsia" w:ascii="Times New Roman" w:hAnsi="Times New Roman"/>
          <w:color w:val="000000"/>
          <w:szCs w:val="21"/>
        </w:rPr>
        <w:t>）、黑曲霉孢子（A</w:t>
      </w:r>
      <w:r>
        <w:rPr>
          <w:rFonts w:ascii="Times New Roman" w:hAnsi="Times New Roman"/>
          <w:color w:val="000000"/>
          <w:szCs w:val="21"/>
        </w:rPr>
        <w:t xml:space="preserve">TCC </w:t>
      </w:r>
      <w:r>
        <w:rPr>
          <w:rFonts w:hint="eastAsia" w:ascii="Times New Roman" w:hAnsi="Times New Roman"/>
          <w:color w:val="000000"/>
          <w:szCs w:val="21"/>
        </w:rPr>
        <w:t>16404）悬液，均质，使其终浓度为10~100 cfu</w:t>
      </w:r>
      <w:r>
        <w:rPr>
          <w:rFonts w:ascii="Times New Roman" w:hAnsi="Times New Roman"/>
          <w:color w:val="000000"/>
          <w:szCs w:val="21"/>
        </w:rPr>
        <w:t>/g</w:t>
      </w:r>
      <w:r>
        <w:rPr>
          <w:rFonts w:hint="eastAsia" w:ascii="Times New Roman" w:hAnsi="Times New Roman"/>
          <w:color w:val="000000"/>
          <w:szCs w:val="21"/>
        </w:rPr>
        <w:t>，随后稀释10倍后，取1mL加入测试瓶</w:t>
      </w:r>
      <w:r>
        <w:rPr>
          <w:rFonts w:hint="eastAsia" w:ascii="Times New Roman" w:hAnsi="Times New Roman"/>
          <w:szCs w:val="21"/>
        </w:rPr>
        <w:t>(</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r>
        <w:rPr>
          <w:rFonts w:hint="eastAsia" w:ascii="Times New Roman" w:hAnsi="Times New Roman"/>
          <w:color w:val="000000"/>
          <w:szCs w:val="21"/>
        </w:rPr>
        <w:t>并上机测试。若</w:t>
      </w:r>
      <w:r>
        <w:rPr>
          <w:rFonts w:hint="eastAsia" w:ascii="Times New Roman"/>
          <w:szCs w:val="21"/>
        </w:rPr>
        <w:t>软件</w:t>
      </w:r>
      <w:r>
        <w:rPr>
          <w:rFonts w:hint="eastAsia" w:ascii="Times New Roman"/>
          <w:color w:val="000000"/>
          <w:szCs w:val="21"/>
        </w:rPr>
        <w:t>电子报告提示样品霉菌和酵母检测结果超标</w:t>
      </w:r>
      <w:r>
        <w:rPr>
          <w:rFonts w:hint="eastAsia" w:ascii="Times New Roman" w:hAnsi="Times New Roman"/>
          <w:color w:val="000000"/>
          <w:szCs w:val="21"/>
        </w:rPr>
        <w:t>，则判定产品通过产品适用性测试；若控制软件算法未得到检测时间，取</w:t>
      </w:r>
      <w:r>
        <w:rPr>
          <w:rFonts w:hint="eastAsia" w:ascii="Times New Roman" w:hAnsi="Times New Roman"/>
          <w:szCs w:val="21"/>
        </w:rPr>
        <w:t>测试完成的测试瓶(</w:t>
      </w:r>
      <w:r>
        <w:rPr>
          <w:rFonts w:ascii="Times New Roman" w:hAnsi="Times New Roman"/>
          <w:szCs w:val="21"/>
        </w:rPr>
        <w:t>S</w:t>
      </w:r>
      <w:r>
        <w:rPr>
          <w:rFonts w:hint="eastAsia" w:ascii="Times New Roman" w:hAnsi="Times New Roman"/>
          <w:szCs w:val="21"/>
        </w:rPr>
        <w:t>oleris</w:t>
      </w:r>
      <w:r>
        <w:rPr>
          <w:rFonts w:ascii="Times New Roman" w:hAnsi="Times New Roman"/>
          <w:szCs w:val="21"/>
        </w:rPr>
        <w:t>)</w:t>
      </w:r>
      <w:bookmarkStart w:id="18" w:name="_GoBack"/>
      <w:bookmarkEnd w:id="18"/>
      <w:r>
        <w:rPr>
          <w:rFonts w:hint="eastAsia" w:ascii="Times New Roman" w:hAnsi="Times New Roman"/>
          <w:szCs w:val="21"/>
        </w:rPr>
        <w:t>，取其全部上区培养基肉汤，参照4789.15进行测定。若确认有霉菌和酵母生长，则该产品可能存在抑菌物质，需要相应优化前处理流程。</w:t>
      </w:r>
    </w:p>
    <w:p>
      <w:pPr>
        <w:snapToGrid w:val="0"/>
        <w:jc w:val="center"/>
        <w:rPr>
          <w:rFonts w:ascii="Times New Roman" w:hAnsi="Times New Roman" w:eastAsia="黑体"/>
          <w:szCs w:val="21"/>
        </w:rPr>
        <w:sectPr>
          <w:footerReference r:id="rId13" w:type="default"/>
          <w:headerReference r:id="rId12" w:type="even"/>
          <w:footerReference r:id="rId14" w:type="even"/>
          <w:pgSz w:w="11906" w:h="16838"/>
          <w:pgMar w:top="1418" w:right="1134" w:bottom="1134" w:left="1418" w:header="851" w:footer="992" w:gutter="0"/>
          <w:pgNumType w:fmt="decimal" w:start="4" w:chapStyle="1"/>
          <w:cols w:space="720" w:num="1"/>
          <w:docGrid w:type="lines" w:linePitch="312" w:charSpace="0"/>
        </w:sectPr>
      </w:pPr>
    </w:p>
    <w:p>
      <w:pPr>
        <w:snapToGrid w:val="0"/>
        <w:jc w:val="center"/>
        <w:rPr>
          <w:rFonts w:ascii="Times New Roman" w:hAnsi="Times New Roman" w:eastAsia="黑体"/>
          <w:szCs w:val="21"/>
        </w:rPr>
      </w:pPr>
      <w:r>
        <w:rPr>
          <w:rFonts w:ascii="Times New Roman" w:hAnsi="Times New Roman" w:eastAsia="黑体"/>
          <w:szCs w:val="21"/>
        </w:rPr>
        <w:t>附</w:t>
      </w:r>
      <w:r>
        <w:rPr>
          <w:rFonts w:hint="eastAsia" w:ascii="Times New Roman" w:hAnsi="Times New Roman" w:eastAsia="黑体"/>
          <w:szCs w:val="21"/>
        </w:rPr>
        <w:t xml:space="preserve"> </w:t>
      </w:r>
      <w:r>
        <w:rPr>
          <w:rFonts w:ascii="Times New Roman" w:hAnsi="Times New Roman" w:eastAsia="黑体"/>
          <w:szCs w:val="21"/>
        </w:rPr>
        <w:t xml:space="preserve"> 录</w:t>
      </w:r>
      <w:r>
        <w:rPr>
          <w:rFonts w:hint="eastAsia" w:ascii="Times New Roman" w:hAnsi="Times New Roman" w:eastAsia="黑体"/>
          <w:szCs w:val="21"/>
        </w:rPr>
        <w:t xml:space="preserve"> </w:t>
      </w:r>
      <w:r>
        <w:rPr>
          <w:rFonts w:ascii="Times New Roman" w:hAnsi="Times New Roman" w:eastAsia="黑体"/>
          <w:szCs w:val="21"/>
        </w:rPr>
        <w:t xml:space="preserve"> B</w:t>
      </w:r>
    </w:p>
    <w:p>
      <w:pPr>
        <w:snapToGrid w:val="0"/>
        <w:jc w:val="center"/>
        <w:rPr>
          <w:rFonts w:ascii="Times New Roman" w:hAnsi="Times New Roman" w:eastAsia="黑体"/>
          <w:szCs w:val="21"/>
        </w:rPr>
      </w:pPr>
      <w:r>
        <w:rPr>
          <w:rFonts w:ascii="Times New Roman" w:hAnsi="Times New Roman" w:eastAsia="黑体"/>
          <w:szCs w:val="21"/>
        </w:rPr>
        <w:t>（</w:t>
      </w:r>
      <w:r>
        <w:rPr>
          <w:rFonts w:hint="eastAsia" w:ascii="Times New Roman" w:hAnsi="Times New Roman" w:eastAsia="黑体"/>
          <w:szCs w:val="21"/>
        </w:rPr>
        <w:t>资料性</w:t>
      </w:r>
      <w:r>
        <w:rPr>
          <w:rFonts w:ascii="Times New Roman" w:hAnsi="Times New Roman" w:eastAsia="黑体"/>
          <w:szCs w:val="21"/>
        </w:rPr>
        <w:t>附录）</w:t>
      </w:r>
    </w:p>
    <w:p>
      <w:pPr>
        <w:pStyle w:val="14"/>
        <w:widowControl/>
        <w:tabs>
          <w:tab w:val="center" w:pos="4201"/>
          <w:tab w:val="right" w:leader="dot" w:pos="9298"/>
        </w:tabs>
        <w:autoSpaceDE w:val="0"/>
        <w:autoSpaceDN w:val="0"/>
        <w:spacing w:before="156" w:beforeLines="50" w:after="156" w:afterLines="50" w:line="240" w:lineRule="auto"/>
        <w:jc w:val="center"/>
        <w:rPr>
          <w:rFonts w:ascii="Times New Roman" w:eastAsia="宋体"/>
          <w:color w:val="FF0000"/>
          <w:lang w:val="en-US"/>
        </w:rPr>
      </w:pPr>
      <w:r>
        <w:rPr>
          <w:rFonts w:hint="eastAsia" w:ascii="Times New Roman" w:eastAsia="黑体"/>
          <w:szCs w:val="21"/>
          <w:lang w:val="en-US"/>
        </w:rPr>
        <w:t>常见的乳制品霉菌和酵母实时光电法测试参数</w:t>
      </w:r>
    </w:p>
    <w:p>
      <w:pPr>
        <w:rPr>
          <w:rFonts w:ascii="Times New Roman" w:hAnsi="Times New Roman"/>
          <w:szCs w:val="21"/>
        </w:rPr>
      </w:pPr>
      <w:r>
        <w:rPr>
          <w:rFonts w:ascii="Times New Roman" w:hAnsi="Times New Roman" w:eastAsia="黑体"/>
          <w:szCs w:val="21"/>
        </w:rPr>
        <w:t>B.1</w:t>
      </w:r>
      <w:r>
        <w:rPr>
          <w:rFonts w:ascii="Times New Roman" w:hAnsi="Times New Roman"/>
          <w:szCs w:val="21"/>
        </w:rPr>
        <w:t xml:space="preserve">  </w:t>
      </w:r>
      <w:r>
        <w:rPr>
          <w:rFonts w:hint="eastAsia" w:ascii="Times New Roman" w:hAnsi="Times New Roman"/>
          <w:color w:val="000000"/>
          <w:szCs w:val="21"/>
        </w:rPr>
        <w:t>常见的乳制品霉菌和酵母实时光电法测试参数</w:t>
      </w:r>
    </w:p>
    <w:p>
      <w:pPr>
        <w:pStyle w:val="14"/>
        <w:widowControl/>
        <w:tabs>
          <w:tab w:val="center" w:pos="4201"/>
          <w:tab w:val="right" w:leader="dot" w:pos="9298"/>
        </w:tabs>
        <w:autoSpaceDE w:val="0"/>
        <w:autoSpaceDN w:val="0"/>
        <w:spacing w:before="156" w:beforeLines="50" w:after="156" w:afterLines="50" w:line="240" w:lineRule="auto"/>
        <w:jc w:val="left"/>
        <w:rPr>
          <w:rFonts w:ascii="Times New Roman" w:eastAsia="宋体"/>
        </w:rPr>
      </w:pPr>
      <w:r>
        <w:rPr>
          <w:rFonts w:hint="eastAsia" w:ascii="Times New Roman" w:eastAsia="宋体"/>
        </w:rPr>
        <w:t>软件中测试参数的配置可参考表B</w:t>
      </w:r>
      <w:r>
        <w:rPr>
          <w:rFonts w:ascii="Times New Roman" w:eastAsia="宋体"/>
        </w:rPr>
        <w:t>.</w:t>
      </w:r>
      <w:r>
        <w:rPr>
          <w:rFonts w:hint="eastAsia" w:ascii="Times New Roman" w:eastAsia="宋体"/>
        </w:rPr>
        <w:t>1。</w:t>
      </w:r>
    </w:p>
    <w:p>
      <w:pPr>
        <w:pStyle w:val="14"/>
        <w:widowControl/>
        <w:tabs>
          <w:tab w:val="center" w:pos="4201"/>
          <w:tab w:val="right" w:leader="dot" w:pos="9298"/>
        </w:tabs>
        <w:autoSpaceDE w:val="0"/>
        <w:autoSpaceDN w:val="0"/>
        <w:spacing w:before="156" w:beforeLines="50" w:after="156" w:afterLines="50" w:line="240" w:lineRule="auto"/>
        <w:jc w:val="center"/>
        <w:rPr>
          <w:rFonts w:ascii="Times New Roman" w:eastAsia="宋体"/>
        </w:rPr>
      </w:pPr>
      <w:r>
        <w:rPr>
          <w:rFonts w:hint="eastAsia" w:ascii="Times New Roman" w:eastAsia="宋体"/>
        </w:rPr>
        <w:t>表</w:t>
      </w:r>
      <w:r>
        <w:rPr>
          <w:rFonts w:ascii="Times New Roman" w:eastAsia="宋体"/>
        </w:rPr>
        <w:t xml:space="preserve">B.1 </w:t>
      </w:r>
      <w:r>
        <w:rPr>
          <w:rFonts w:hint="eastAsia" w:ascii="Times New Roman" w:eastAsia="宋体"/>
        </w:rPr>
        <w:t>常见的乳制品霉菌和酵母实时光电法测试参数</w:t>
      </w:r>
    </w:p>
    <w:tbl>
      <w:tblPr>
        <w:tblStyle w:val="5"/>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0"/>
        <w:gridCol w:w="1230"/>
        <w:gridCol w:w="880"/>
        <w:gridCol w:w="740"/>
        <w:gridCol w:w="850"/>
        <w:gridCol w:w="1190"/>
        <w:gridCol w:w="98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0" w:type="dxa"/>
            <w:shd w:val="clear" w:color="auto" w:fill="auto"/>
          </w:tcPr>
          <w:p>
            <w:pPr>
              <w:jc w:val="center"/>
              <w:rPr>
                <w:rFonts w:ascii="Calibri Light" w:hAnsi="Calibri Light" w:cs="Calibri Light"/>
                <w:sz w:val="20"/>
                <w:szCs w:val="20"/>
              </w:rPr>
            </w:pPr>
            <w:r>
              <w:rPr>
                <w:rFonts w:hint="eastAsia" w:ascii="Calibri Light" w:hAnsi="Calibri Light" w:cs="Calibri Light"/>
                <w:sz w:val="20"/>
                <w:szCs w:val="20"/>
              </w:rPr>
              <w:t>乳制品</w:t>
            </w:r>
          </w:p>
        </w:tc>
        <w:tc>
          <w:tcPr>
            <w:tcW w:w="1230" w:type="dxa"/>
          </w:tcPr>
          <w:p>
            <w:pPr>
              <w:jc w:val="center"/>
              <w:rPr>
                <w:rFonts w:ascii="宋体" w:hAnsi="宋体" w:cs="宋体"/>
                <w:sz w:val="20"/>
                <w:szCs w:val="20"/>
              </w:rPr>
            </w:pPr>
            <w:r>
              <w:rPr>
                <w:rFonts w:hint="eastAsia" w:ascii="宋体" w:hAnsi="宋体" w:cs="宋体"/>
                <w:sz w:val="20"/>
                <w:szCs w:val="20"/>
              </w:rPr>
              <w:t>测试类型</w:t>
            </w:r>
          </w:p>
        </w:tc>
        <w:tc>
          <w:tcPr>
            <w:tcW w:w="880" w:type="dxa"/>
            <w:shd w:val="clear" w:color="auto" w:fill="auto"/>
          </w:tcPr>
          <w:p>
            <w:pPr>
              <w:jc w:val="center"/>
              <w:rPr>
                <w:rFonts w:ascii="Calibri Light" w:hAnsi="Calibri Light" w:eastAsia="Times New Roman" w:cs="Calibri Light"/>
                <w:sz w:val="20"/>
                <w:szCs w:val="20"/>
              </w:rPr>
            </w:pPr>
            <w:r>
              <w:rPr>
                <w:rFonts w:hint="eastAsia" w:ascii="宋体" w:hAnsi="宋体" w:cs="宋体"/>
                <w:sz w:val="20"/>
                <w:szCs w:val="20"/>
              </w:rPr>
              <w:t>阈值</w:t>
            </w:r>
          </w:p>
        </w:tc>
        <w:tc>
          <w:tcPr>
            <w:tcW w:w="740" w:type="dxa"/>
            <w:shd w:val="clear" w:color="auto" w:fill="auto"/>
          </w:tcPr>
          <w:p>
            <w:pPr>
              <w:jc w:val="center"/>
              <w:rPr>
                <w:rFonts w:ascii="Calibri Light" w:hAnsi="Calibri Light" w:eastAsia="Times New Roman" w:cs="Calibri Light"/>
                <w:sz w:val="20"/>
                <w:szCs w:val="20"/>
              </w:rPr>
            </w:pPr>
            <w:r>
              <w:rPr>
                <w:rFonts w:hint="eastAsia" w:ascii="宋体" w:hAnsi="宋体" w:cs="宋体"/>
                <w:sz w:val="20"/>
                <w:szCs w:val="20"/>
              </w:rPr>
              <w:t>跳过</w:t>
            </w:r>
          </w:p>
        </w:tc>
        <w:tc>
          <w:tcPr>
            <w:tcW w:w="850" w:type="dxa"/>
            <w:shd w:val="clear" w:color="auto" w:fill="auto"/>
          </w:tcPr>
          <w:p>
            <w:pPr>
              <w:jc w:val="center"/>
              <w:rPr>
                <w:rFonts w:ascii="Calibri Light" w:hAnsi="Calibri Light" w:eastAsia="Times New Roman" w:cs="Calibri Light"/>
                <w:sz w:val="20"/>
                <w:szCs w:val="20"/>
              </w:rPr>
            </w:pPr>
            <w:r>
              <w:rPr>
                <w:rFonts w:hint="eastAsia" w:ascii="宋体" w:hAnsi="宋体" w:cs="宋体"/>
                <w:sz w:val="20"/>
                <w:szCs w:val="20"/>
              </w:rPr>
              <w:t>睡眠</w:t>
            </w:r>
          </w:p>
        </w:tc>
        <w:tc>
          <w:tcPr>
            <w:tcW w:w="1190" w:type="dxa"/>
            <w:shd w:val="clear" w:color="auto" w:fill="auto"/>
          </w:tcPr>
          <w:p>
            <w:pPr>
              <w:jc w:val="center"/>
              <w:rPr>
                <w:rFonts w:ascii="宋体" w:hAnsi="宋体" w:cs="宋体"/>
                <w:sz w:val="20"/>
                <w:szCs w:val="20"/>
              </w:rPr>
            </w:pPr>
            <w:r>
              <w:rPr>
                <w:rFonts w:hint="eastAsia" w:ascii="宋体" w:hAnsi="宋体" w:cs="宋体"/>
                <w:sz w:val="20"/>
                <w:szCs w:val="20"/>
              </w:rPr>
              <w:t>持续时间</w:t>
            </w:r>
          </w:p>
        </w:tc>
        <w:tc>
          <w:tcPr>
            <w:tcW w:w="980" w:type="dxa"/>
            <w:shd w:val="clear" w:color="auto" w:fill="auto"/>
          </w:tcPr>
          <w:p>
            <w:pPr>
              <w:jc w:val="center"/>
              <w:rPr>
                <w:rFonts w:ascii="宋体" w:hAnsi="宋体" w:cs="宋体"/>
                <w:sz w:val="20"/>
                <w:szCs w:val="20"/>
              </w:rPr>
            </w:pPr>
            <w:r>
              <w:rPr>
                <w:rFonts w:hint="eastAsia" w:ascii="宋体" w:hAnsi="宋体" w:cs="宋体"/>
                <w:sz w:val="20"/>
                <w:szCs w:val="20"/>
              </w:rPr>
              <w:t>温度</w:t>
            </w:r>
          </w:p>
        </w:tc>
        <w:tc>
          <w:tcPr>
            <w:tcW w:w="1860" w:type="dxa"/>
            <w:shd w:val="clear" w:color="auto" w:fill="auto"/>
          </w:tcPr>
          <w:p>
            <w:pPr>
              <w:jc w:val="center"/>
              <w:rPr>
                <w:rFonts w:ascii="宋体" w:hAnsi="宋体" w:cs="宋体"/>
                <w:sz w:val="20"/>
                <w:szCs w:val="20"/>
              </w:rPr>
            </w:pPr>
            <w:r>
              <w:rPr>
                <w:rFonts w:hint="eastAsia" w:ascii="宋体" w:hAnsi="宋体" w:cs="宋体"/>
                <w:sz w:val="20"/>
                <w:szCs w:val="20"/>
              </w:rPr>
              <w:t>限量值(</w:t>
            </w:r>
            <w:r>
              <w:rPr>
                <w:rFonts w:ascii="宋体" w:hAnsi="宋体" w:cs="宋体"/>
                <w:sz w:val="20"/>
                <w:szCs w:val="20"/>
              </w:rPr>
              <w:t>cfu/g</w:t>
            </w:r>
            <w:r>
              <w:rPr>
                <w:rFonts w:hint="eastAsia" w:ascii="宋体" w:hAnsi="宋体" w:cs="宋体"/>
                <w:sz w:val="20"/>
                <w:szCs w:val="20"/>
              </w:rPr>
              <w:t>或c</w:t>
            </w:r>
            <w:r>
              <w:rPr>
                <w:rFonts w:ascii="宋体" w:hAnsi="宋体" w:cs="宋体"/>
                <w:sz w:val="20"/>
                <w:szCs w:val="20"/>
              </w:rPr>
              <w:t>fu/mL)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0" w:type="dxa"/>
            <w:shd w:val="clear" w:color="auto" w:fill="auto"/>
          </w:tcPr>
          <w:p>
            <w:pPr>
              <w:jc w:val="center"/>
              <w:rPr>
                <w:rFonts w:ascii="Calibri Light" w:hAnsi="Calibri Light" w:eastAsia="Times New Roman" w:cs="Calibri Light"/>
                <w:sz w:val="20"/>
                <w:szCs w:val="20"/>
              </w:rPr>
            </w:pPr>
            <w:r>
              <w:rPr>
                <w:rFonts w:hint="eastAsia" w:ascii="宋体" w:hAnsi="宋体" w:cs="宋体"/>
                <w:sz w:val="20"/>
                <w:szCs w:val="20"/>
              </w:rPr>
              <w:t>低温发酵乳</w:t>
            </w:r>
          </w:p>
        </w:tc>
        <w:tc>
          <w:tcPr>
            <w:tcW w:w="1230" w:type="dxa"/>
          </w:tcPr>
          <w:p>
            <w:pPr>
              <w:jc w:val="center"/>
              <w:rPr>
                <w:rFonts w:ascii="DengXian" w:hAnsi="DengXian" w:cs="Calibri Light"/>
                <w:sz w:val="20"/>
                <w:szCs w:val="20"/>
              </w:rPr>
            </w:pPr>
            <w:r>
              <w:rPr>
                <w:rFonts w:hint="eastAsia" w:ascii="DengXian" w:hAnsi="DengXian" w:cs="Calibri Light"/>
                <w:sz w:val="20"/>
                <w:szCs w:val="20"/>
              </w:rPr>
              <w:t>黄光</w:t>
            </w:r>
          </w:p>
        </w:tc>
        <w:tc>
          <w:tcPr>
            <w:tcW w:w="88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8</w:t>
            </w:r>
          </w:p>
        </w:tc>
        <w:tc>
          <w:tcPr>
            <w:tcW w:w="74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2</w:t>
            </w:r>
          </w:p>
        </w:tc>
        <w:tc>
          <w:tcPr>
            <w:tcW w:w="85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50</w:t>
            </w:r>
          </w:p>
        </w:tc>
        <w:tc>
          <w:tcPr>
            <w:tcW w:w="119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48</w:t>
            </w:r>
          </w:p>
        </w:tc>
        <w:tc>
          <w:tcPr>
            <w:tcW w:w="98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28℃</w:t>
            </w:r>
          </w:p>
        </w:tc>
        <w:tc>
          <w:tcPr>
            <w:tcW w:w="1860" w:type="dxa"/>
            <w:shd w:val="clear" w:color="auto" w:fill="auto"/>
          </w:tcPr>
          <w:p>
            <w:pPr>
              <w:jc w:val="center"/>
              <w:rPr>
                <w:rFonts w:ascii="DengXian" w:hAnsi="DengXian" w:cs="Calibri Light"/>
                <w:sz w:val="20"/>
                <w:szCs w:val="20"/>
              </w:rPr>
            </w:pPr>
            <w:r>
              <w:rPr>
                <w:rFonts w:hint="eastAsia" w:ascii="DengXian" w:hAnsi="DengXian" w:cs="Calibri Light"/>
                <w:sz w:val="20"/>
                <w:szCs w:val="20"/>
              </w:rPr>
              <w:t>&lt;</w:t>
            </w:r>
            <w:r>
              <w:rPr>
                <w:rFonts w:ascii="DengXian" w:hAnsi="DengXian" w:cs="Calibri Light"/>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0" w:type="dxa"/>
            <w:shd w:val="clear" w:color="auto" w:fill="auto"/>
          </w:tcPr>
          <w:p>
            <w:pPr>
              <w:jc w:val="center"/>
              <w:rPr>
                <w:rFonts w:ascii="宋体" w:hAnsi="宋体" w:cs="宋体"/>
                <w:sz w:val="20"/>
                <w:szCs w:val="20"/>
              </w:rPr>
            </w:pPr>
            <w:r>
              <w:rPr>
                <w:rFonts w:hint="eastAsia" w:ascii="宋体" w:hAnsi="宋体" w:cs="宋体"/>
                <w:sz w:val="20"/>
                <w:szCs w:val="20"/>
              </w:rPr>
              <w:t>再制干酪</w:t>
            </w:r>
          </w:p>
        </w:tc>
        <w:tc>
          <w:tcPr>
            <w:tcW w:w="1230" w:type="dxa"/>
          </w:tcPr>
          <w:p>
            <w:pPr>
              <w:jc w:val="center"/>
              <w:rPr>
                <w:rFonts w:ascii="DengXian" w:hAnsi="DengXian" w:cs="Calibri Light"/>
                <w:sz w:val="20"/>
                <w:szCs w:val="20"/>
              </w:rPr>
            </w:pPr>
            <w:r>
              <w:rPr>
                <w:rFonts w:hint="eastAsia" w:ascii="DengXian" w:hAnsi="DengXian" w:cs="Calibri Light"/>
                <w:sz w:val="20"/>
                <w:szCs w:val="20"/>
              </w:rPr>
              <w:t>黄光</w:t>
            </w:r>
          </w:p>
        </w:tc>
        <w:tc>
          <w:tcPr>
            <w:tcW w:w="88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8</w:t>
            </w:r>
          </w:p>
        </w:tc>
        <w:tc>
          <w:tcPr>
            <w:tcW w:w="74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2</w:t>
            </w:r>
          </w:p>
        </w:tc>
        <w:tc>
          <w:tcPr>
            <w:tcW w:w="85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50</w:t>
            </w:r>
          </w:p>
        </w:tc>
        <w:tc>
          <w:tcPr>
            <w:tcW w:w="119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48</w:t>
            </w:r>
          </w:p>
        </w:tc>
        <w:tc>
          <w:tcPr>
            <w:tcW w:w="980" w:type="dxa"/>
            <w:shd w:val="clear" w:color="auto" w:fill="auto"/>
          </w:tcPr>
          <w:p>
            <w:pPr>
              <w:jc w:val="center"/>
              <w:rPr>
                <w:rFonts w:ascii="Calibri Light" w:hAnsi="Calibri Light" w:eastAsia="Times New Roman" w:cs="Calibri Light"/>
                <w:sz w:val="20"/>
                <w:szCs w:val="20"/>
              </w:rPr>
            </w:pPr>
            <w:r>
              <w:rPr>
                <w:rFonts w:hint="eastAsia" w:ascii="DengXian" w:hAnsi="DengXian" w:cs="Calibri Light"/>
                <w:sz w:val="20"/>
                <w:szCs w:val="20"/>
              </w:rPr>
              <w:t>28℃</w:t>
            </w:r>
          </w:p>
        </w:tc>
        <w:tc>
          <w:tcPr>
            <w:tcW w:w="1860" w:type="dxa"/>
            <w:shd w:val="clear" w:color="auto" w:fill="auto"/>
          </w:tcPr>
          <w:p>
            <w:pPr>
              <w:jc w:val="center"/>
              <w:rPr>
                <w:rFonts w:ascii="DengXian" w:hAnsi="DengXian" w:cs="Calibri Light"/>
                <w:sz w:val="20"/>
                <w:szCs w:val="20"/>
              </w:rPr>
            </w:pPr>
            <w:r>
              <w:rPr>
                <w:rFonts w:hint="eastAsia" w:ascii="DengXian" w:hAnsi="DengXian" w:cs="Calibri Light"/>
                <w:sz w:val="20"/>
                <w:szCs w:val="20"/>
              </w:rPr>
              <w:t>&lt;5</w:t>
            </w:r>
            <w:r>
              <w:rPr>
                <w:rFonts w:ascii="DengXian" w:hAnsi="DengXian" w:cs="Calibri Light"/>
                <w:sz w:val="20"/>
                <w:szCs w:val="20"/>
              </w:rPr>
              <w:t>0</w:t>
            </w:r>
          </w:p>
        </w:tc>
      </w:tr>
    </w:tbl>
    <w:p>
      <w:pPr>
        <w:ind w:firstLine="420" w:firstLineChars="200"/>
        <w:rPr>
          <w:rFonts w:ascii="Times New Roman" w:hAnsi="Times New Roman"/>
          <w:szCs w:val="21"/>
        </w:rPr>
      </w:pPr>
    </w:p>
    <w:p>
      <w:pPr>
        <w:rPr>
          <w:rFonts w:ascii="Times New Roman" w:hAnsi="Times New Roman"/>
          <w:szCs w:val="21"/>
        </w:rPr>
      </w:pPr>
    </w:p>
    <w:p>
      <w:pPr>
        <w:rPr>
          <w:rFonts w:ascii="Times New Roman" w:hAnsi="Times New Roman"/>
          <w:szCs w:val="21"/>
        </w:rPr>
      </w:pPr>
    </w:p>
    <w:p>
      <w:pPr>
        <w:pStyle w:val="14"/>
        <w:spacing w:line="240" w:lineRule="auto"/>
        <w:ind w:firstLine="0"/>
        <w:rPr>
          <w:rFonts w:ascii="Times New Roman" w:eastAsia="黑体"/>
          <w:kern w:val="0"/>
          <w:sz w:val="32"/>
          <w:szCs w:val="32"/>
        </w:rPr>
      </w:pPr>
    </w:p>
    <w:p/>
    <w:sectPr>
      <w:footerReference r:id="rId15" w:type="default"/>
      <w:pgSz w:w="11906" w:h="16838"/>
      <w:pgMar w:top="1418" w:right="1134" w:bottom="1134" w:left="1418" w:header="851" w:footer="992" w:gutter="0"/>
      <w:pgNumType w:fmt="decimal" w:start="5" w:chapStyle="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ascii="宋体" w:hAnsi="宋体" w:cs="宋体"/>
      </w:rPr>
    </w:pPr>
    <w:r>
      <w:rPr>
        <w:rFonts w:hint="eastAsia"/>
      </w:rPr>
      <w:t>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9100" w:firstLineChars="4550"/>
    </w:pPr>
    <w:r>
      <w:rPr>
        <w:rFonts w:hint="eastAsia" w:ascii="宋体" w:hAnsi="宋体" w:cs="宋体"/>
        <w:color w:val="333333"/>
        <w:sz w:val="20"/>
        <w:szCs w:val="20"/>
        <w:shd w:val="clear" w:color="auto" w:fill="FFFFFF"/>
      </w:rPr>
      <w:t>Ⅰ</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8190" w:firstLineChars="455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310" cy="3213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67310" cy="321310"/>
                      </a:xfrm>
                      <a:prstGeom prst="rect">
                        <a:avLst/>
                      </a:prstGeom>
                      <a:noFill/>
                      <a:ln w="6350">
                        <a:noFill/>
                      </a:ln>
                    </wps:spPr>
                    <wps:txbx>
                      <w:txbxContent>
                        <w:p>
                          <w:pPr>
                            <w:pStyle w:val="3"/>
                            <w:jc w:val="right"/>
                            <w:rPr>
                              <w:rFonts w:ascii="宋体" w:hAnsi="宋体" w:cs="宋体"/>
                            </w:rPr>
                          </w:pPr>
                          <w:r>
                            <w:rPr>
                              <w:rFonts w:hint="eastAsia" w:ascii="宋体" w:hAnsi="宋体" w:cs="宋体"/>
                              <w:lang w:val="en-US"/>
                            </w:rPr>
                            <w:fldChar w:fldCharType="begin"/>
                          </w:r>
                          <w:r>
                            <w:rPr>
                              <w:rFonts w:hint="eastAsia" w:ascii="宋体" w:hAnsi="宋体" w:cs="宋体"/>
                            </w:rPr>
                            <w:instrText xml:space="preserve"> PAGE   \* MERGEFORMAT </w:instrText>
                          </w:r>
                          <w:r>
                            <w:rPr>
                              <w:rFonts w:hint="eastAsia" w:ascii="宋体" w:hAnsi="宋体" w:cs="宋体"/>
                              <w:lang w:val="en-US"/>
                            </w:rPr>
                            <w:fldChar w:fldCharType="separate"/>
                          </w:r>
                          <w:r>
                            <w:rPr>
                              <w:rFonts w:ascii="宋体" w:hAnsi="宋体" w:cs="宋体"/>
                            </w:rPr>
                            <w:t>3</w:t>
                          </w:r>
                          <w:r>
                            <w:rPr>
                              <w:rFonts w:hint="eastAsia" w:ascii="宋体" w:hAnsi="宋体" w:cs="宋体"/>
                            </w:rPr>
                            <w:fldChar w:fldCharType="end"/>
                          </w:r>
                        </w:p>
                        <w:p>
                          <w:pPr>
                            <w:rPr>
                              <w:rFonts w:ascii="宋体" w:hAnsi="宋体" w:cs="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5.3pt;width:5.3pt;mso-position-horizontal:center;mso-position-horizontal-relative:margin;mso-wrap-style:none;z-index:251659264;mso-width-relative:page;mso-height-relative:page;" filled="f" stroked="f" coordsize="21600,21600" o:gfxdata="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3QeFNEAAAADAQAADwAAAAAAAAABACAAAAAiAAAAZHJzL2Rvd25yZXYueG1sUEsBAhQAFAAAAAgA&#10;h07iQHIfPBQsAgAAUgQAAA4AAAAAAAAAAQAgAAAAIAEAAGRycy9lMm9Eb2MueG1sUEsFBgAAAAAG&#10;AAYAWQEAAL4FAAAAAA==&#10;">
              <v:fill on="f" focussize="0,0"/>
              <v:stroke on="f" weight="0.5pt"/>
              <v:imagedata o:title=""/>
              <o:lock v:ext="edit" aspectratio="f"/>
              <v:textbox inset="0mm,0mm,0mm,0mm" style="mso-fit-shape-to-text:t;">
                <w:txbxContent>
                  <w:p>
                    <w:pPr>
                      <w:pStyle w:val="3"/>
                      <w:jc w:val="right"/>
                      <w:rPr>
                        <w:rFonts w:ascii="宋体" w:hAnsi="宋体" w:cs="宋体"/>
                      </w:rPr>
                    </w:pPr>
                    <w:r>
                      <w:rPr>
                        <w:rFonts w:hint="eastAsia" w:ascii="宋体" w:hAnsi="宋体" w:cs="宋体"/>
                        <w:lang w:val="en-US"/>
                      </w:rPr>
                      <w:fldChar w:fldCharType="begin"/>
                    </w:r>
                    <w:r>
                      <w:rPr>
                        <w:rFonts w:hint="eastAsia" w:ascii="宋体" w:hAnsi="宋体" w:cs="宋体"/>
                      </w:rPr>
                      <w:instrText xml:space="preserve"> PAGE   \* MERGEFORMAT </w:instrText>
                    </w:r>
                    <w:r>
                      <w:rPr>
                        <w:rFonts w:hint="eastAsia" w:ascii="宋体" w:hAnsi="宋体" w:cs="宋体"/>
                        <w:lang w:val="en-US"/>
                      </w:rPr>
                      <w:fldChar w:fldCharType="separate"/>
                    </w:r>
                    <w:r>
                      <w:rPr>
                        <w:rFonts w:ascii="宋体" w:hAnsi="宋体" w:cs="宋体"/>
                      </w:rPr>
                      <w:t>3</w:t>
                    </w:r>
                    <w:r>
                      <w:rPr>
                        <w:rFonts w:hint="eastAsia" w:ascii="宋体" w:hAnsi="宋体" w:cs="宋体"/>
                      </w:rPr>
                      <w:fldChar w:fldCharType="end"/>
                    </w:r>
                  </w:p>
                  <w:p>
                    <w:pPr>
                      <w:rPr>
                        <w:rFonts w:ascii="宋体" w:hAnsi="宋体" w:cs="宋体"/>
                      </w:rPr>
                    </w:pPr>
                  </w:p>
                </w:txbxContent>
              </v:textbox>
            </v:shape>
          </w:pict>
        </mc:Fallback>
      </mc:AlternateContent>
    </w:r>
  </w:p>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val="en-US"/>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pPr>
                            <w:pStyle w:val="3"/>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rvABY0QAAAAIBAAAPAAAAAAAAAAEAIAAAACIAAABkcnMvZG93bnJldi54bWxQSwECFAAU&#10;AAAACACHTuJAG5ngNTECAABUBAAADgAAAAAAAAABACAAAAAgAQAAZHJzL2Uyb0RvYy54bWxQSwUG&#10;AAAAAAYABgBZAQAAwwUAAAAA&#10;">
              <v:fill on="f" focussize="0,0"/>
              <v:stroke on="f" weight="0.5pt"/>
              <v:imagedata o:title=""/>
              <o:lock v:ext="edit" aspectratio="f"/>
              <v:textbox inset="0mm,0mm,0mm,0mm" style="mso-fit-shape-to-text:t;">
                <w:txbxContent>
                  <w:p>
                    <w:pPr>
                      <w:pStyle w:val="3"/>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90"/>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right="90"/>
                            <w:jc w:val="right"/>
                            <w:rPr>
                              <w:rFonts w:hint="eastAsia" w:eastAsia="宋体"/>
                              <w:lang w:val="en-US" w:eastAsia="zh-CN"/>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ind w:right="90"/>
                      <w:jc w:val="right"/>
                      <w:rPr>
                        <w:rFonts w:hint="eastAsia" w:eastAsia="宋体"/>
                        <w:lang w:val="en-US" w:eastAsia="zh-CN"/>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90" w:firstLineChars="50"/>
    </w:pPr>
    <w:r>
      <w:fldChar w:fldCharType="begin"/>
    </w:r>
    <w:r>
      <w:instrText xml:space="preserve"> PAGE   \* MERGEFORMAT </w:instrText>
    </w:r>
    <w:r>
      <w:fldChar w:fldCharType="separate"/>
    </w:r>
    <w:r>
      <w:t>2</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9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right="90"/>
                            <w:jc w:val="right"/>
                            <w:rPr>
                              <w:rFonts w:hint="eastAsia" w:eastAsia="宋体"/>
                              <w:lang w:val="en-US" w:eastAsia="zh-CN"/>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ind w:right="90"/>
                      <w:jc w:val="right"/>
                      <w:rPr>
                        <w:rFonts w:hint="eastAsia" w:eastAsia="宋体"/>
                        <w:lang w:val="en-US" w:eastAsia="zh-CN"/>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t xml:space="preserve">T/CIQA </w:t>
    </w:r>
    <w:r>
      <w:rPr>
        <w:rFonts w:hint="eastAsia"/>
      </w:rPr>
      <w:t>10</w:t>
    </w:r>
    <w:r>
      <w:t>-2020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tab/>
    </w:r>
    <w:r>
      <w:tab/>
    </w:r>
    <w:r>
      <w:t xml:space="preserve">T/CIQA </w:t>
    </w:r>
    <w:r>
      <w:rPr>
        <w:rFonts w:hint="eastAsia"/>
      </w:rPr>
      <w:t>X</w:t>
    </w:r>
    <w:r>
      <w:t>-</w:t>
    </w:r>
    <w:r>
      <w:rPr>
        <w:rFonts w:hint="eastAsia"/>
      </w:rPr>
      <w:t>XXXX</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t xml:space="preserve">T/CIQA </w:t>
    </w:r>
    <w:r>
      <w:rPr>
        <w:rFonts w:hint="eastAsia"/>
      </w:rPr>
      <w:t>X</w:t>
    </w:r>
    <w:r>
      <w:t>-</w:t>
    </w:r>
    <w:r>
      <w:rPr>
        <w:rFonts w:hint="eastAsia"/>
      </w:rP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T/CIQA </w:t>
    </w:r>
    <w:r>
      <w:rPr>
        <w:rFonts w:hint="eastAsia"/>
      </w:rPr>
      <w:t>10</w:t>
    </w:r>
    <w: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94EA2"/>
    <w:rsid w:val="01170819"/>
    <w:rsid w:val="018E1F5E"/>
    <w:rsid w:val="01D57D01"/>
    <w:rsid w:val="024D0609"/>
    <w:rsid w:val="03564AE4"/>
    <w:rsid w:val="04143EFE"/>
    <w:rsid w:val="0416691D"/>
    <w:rsid w:val="05630705"/>
    <w:rsid w:val="05AF1230"/>
    <w:rsid w:val="07141C31"/>
    <w:rsid w:val="07261C91"/>
    <w:rsid w:val="0727753A"/>
    <w:rsid w:val="08BD1F97"/>
    <w:rsid w:val="098716B3"/>
    <w:rsid w:val="0BC848BD"/>
    <w:rsid w:val="0D170AF4"/>
    <w:rsid w:val="0ED75B2C"/>
    <w:rsid w:val="0F675BE4"/>
    <w:rsid w:val="104D4008"/>
    <w:rsid w:val="10700ED3"/>
    <w:rsid w:val="11BD2D07"/>
    <w:rsid w:val="128741E3"/>
    <w:rsid w:val="12CE1DCA"/>
    <w:rsid w:val="15730427"/>
    <w:rsid w:val="15A23A18"/>
    <w:rsid w:val="15A66C14"/>
    <w:rsid w:val="16A87B73"/>
    <w:rsid w:val="182831C6"/>
    <w:rsid w:val="18B56213"/>
    <w:rsid w:val="193522BA"/>
    <w:rsid w:val="19C20F5E"/>
    <w:rsid w:val="1AC848E8"/>
    <w:rsid w:val="1AF961C4"/>
    <w:rsid w:val="1BB44D4E"/>
    <w:rsid w:val="1BF67F45"/>
    <w:rsid w:val="1C2660C3"/>
    <w:rsid w:val="1C3F01A5"/>
    <w:rsid w:val="1DF91773"/>
    <w:rsid w:val="20DE36C7"/>
    <w:rsid w:val="21F62115"/>
    <w:rsid w:val="242309BC"/>
    <w:rsid w:val="24951BBA"/>
    <w:rsid w:val="24BA0C88"/>
    <w:rsid w:val="25D45441"/>
    <w:rsid w:val="25EA3E98"/>
    <w:rsid w:val="25F02189"/>
    <w:rsid w:val="26B20F8B"/>
    <w:rsid w:val="270665A1"/>
    <w:rsid w:val="291467C7"/>
    <w:rsid w:val="29765E0F"/>
    <w:rsid w:val="2D4D726D"/>
    <w:rsid w:val="2E792469"/>
    <w:rsid w:val="2EB962C3"/>
    <w:rsid w:val="2F8C39FC"/>
    <w:rsid w:val="2FC36617"/>
    <w:rsid w:val="2FE032EC"/>
    <w:rsid w:val="302419BD"/>
    <w:rsid w:val="3243110B"/>
    <w:rsid w:val="32630EC6"/>
    <w:rsid w:val="32AA7635"/>
    <w:rsid w:val="32B94885"/>
    <w:rsid w:val="32FB1F3B"/>
    <w:rsid w:val="33413B0E"/>
    <w:rsid w:val="334B2E30"/>
    <w:rsid w:val="33545026"/>
    <w:rsid w:val="34FC33CD"/>
    <w:rsid w:val="36164E22"/>
    <w:rsid w:val="38292622"/>
    <w:rsid w:val="38E8673E"/>
    <w:rsid w:val="391B31D5"/>
    <w:rsid w:val="3A1A190D"/>
    <w:rsid w:val="3AB11215"/>
    <w:rsid w:val="3D9A7CE6"/>
    <w:rsid w:val="3DEF6F23"/>
    <w:rsid w:val="3E3866C9"/>
    <w:rsid w:val="3F1E1CB2"/>
    <w:rsid w:val="3FE673FA"/>
    <w:rsid w:val="40640701"/>
    <w:rsid w:val="40FD4681"/>
    <w:rsid w:val="41113EC9"/>
    <w:rsid w:val="41782FDF"/>
    <w:rsid w:val="41EA7A71"/>
    <w:rsid w:val="429A0E43"/>
    <w:rsid w:val="45CF4CB5"/>
    <w:rsid w:val="473740D2"/>
    <w:rsid w:val="47972DDB"/>
    <w:rsid w:val="486E5433"/>
    <w:rsid w:val="49046EB1"/>
    <w:rsid w:val="49EE70DE"/>
    <w:rsid w:val="4BBE404C"/>
    <w:rsid w:val="4C0C0D7C"/>
    <w:rsid w:val="4C4700AE"/>
    <w:rsid w:val="4CCD3EFE"/>
    <w:rsid w:val="4CED7865"/>
    <w:rsid w:val="4D7430F0"/>
    <w:rsid w:val="4D966079"/>
    <w:rsid w:val="4E0F67A8"/>
    <w:rsid w:val="4E3236E6"/>
    <w:rsid w:val="50D45896"/>
    <w:rsid w:val="51D4773E"/>
    <w:rsid w:val="51EB47AD"/>
    <w:rsid w:val="53E83396"/>
    <w:rsid w:val="53F177A7"/>
    <w:rsid w:val="54207D43"/>
    <w:rsid w:val="549C0B25"/>
    <w:rsid w:val="54CE4F7F"/>
    <w:rsid w:val="54E61AD5"/>
    <w:rsid w:val="56185AF1"/>
    <w:rsid w:val="56ED4CB0"/>
    <w:rsid w:val="5A7D1CB3"/>
    <w:rsid w:val="5B857419"/>
    <w:rsid w:val="5C43697E"/>
    <w:rsid w:val="5D1A6C2D"/>
    <w:rsid w:val="5D6A5A13"/>
    <w:rsid w:val="5EC51BD8"/>
    <w:rsid w:val="5EEA28F4"/>
    <w:rsid w:val="60B411F5"/>
    <w:rsid w:val="61105603"/>
    <w:rsid w:val="61F034E2"/>
    <w:rsid w:val="62413BA5"/>
    <w:rsid w:val="68EC472F"/>
    <w:rsid w:val="69370EB7"/>
    <w:rsid w:val="697E3270"/>
    <w:rsid w:val="6B0D55AE"/>
    <w:rsid w:val="6C265C1E"/>
    <w:rsid w:val="6C6A60BB"/>
    <w:rsid w:val="6E010FDE"/>
    <w:rsid w:val="6E5A7F70"/>
    <w:rsid w:val="6E9C514C"/>
    <w:rsid w:val="6EAF2BE3"/>
    <w:rsid w:val="6ED47FA7"/>
    <w:rsid w:val="72B014DB"/>
    <w:rsid w:val="7559765A"/>
    <w:rsid w:val="75AE5EDA"/>
    <w:rsid w:val="76AC651A"/>
    <w:rsid w:val="76CA1DE0"/>
    <w:rsid w:val="783E4C2E"/>
    <w:rsid w:val="798045E4"/>
    <w:rsid w:val="7B2F0B80"/>
    <w:rsid w:val="7C784F6B"/>
    <w:rsid w:val="7CF13DA2"/>
    <w:rsid w:val="7D7602E4"/>
    <w:rsid w:val="7E0011B5"/>
    <w:rsid w:val="7ED32E78"/>
    <w:rsid w:val="7F823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202"/>
    </w:pPr>
    <w:rPr>
      <w:rFonts w:ascii="宋体" w:hAnsi="宋体"/>
      <w:szCs w:val="21"/>
      <w:lang w:val="zh-CN"/>
    </w:rPr>
  </w:style>
  <w:style w:type="paragraph" w:styleId="3">
    <w:name w:val="footer"/>
    <w:basedOn w:val="1"/>
    <w:qFormat/>
    <w:uiPriority w:val="99"/>
    <w:pPr>
      <w:tabs>
        <w:tab w:val="center" w:pos="4153"/>
        <w:tab w:val="right" w:pos="8306"/>
      </w:tabs>
      <w:snapToGrid w:val="0"/>
      <w:jc w:val="left"/>
    </w:pPr>
    <w:rPr>
      <w:sz w:val="18"/>
      <w:szCs w:val="18"/>
      <w:lang w:val="zh-CN"/>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lang w:val="zh-CN"/>
    </w:rPr>
  </w:style>
  <w:style w:type="paragraph" w:customStyle="1" w:styleId="7">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
    <w:name w:val="发布日期"/>
    <w:qFormat/>
    <w:uiPriority w:val="0"/>
    <w:rPr>
      <w:rFonts w:ascii="Times New Roman" w:hAnsi="Times New Roman" w:eastAsia="黑体" w:cs="Times New Roman"/>
      <w:sz w:val="28"/>
      <w:lang w:val="en-US" w:eastAsia="zh-CN" w:bidi="ar-SA"/>
    </w:rPr>
  </w:style>
  <w:style w:type="paragraph" w:customStyle="1" w:styleId="11">
    <w:name w:val="实施日期"/>
    <w:basedOn w:val="10"/>
    <w:qFormat/>
    <w:uiPriority w:val="0"/>
    <w:pPr>
      <w:jc w:val="right"/>
    </w:pPr>
  </w:style>
  <w:style w:type="paragraph" w:customStyle="1" w:styleId="12">
    <w:name w:val="其他发布部门"/>
    <w:basedOn w:val="1"/>
    <w:qFormat/>
    <w:uiPriority w:val="0"/>
    <w:pPr>
      <w:widowControl/>
      <w:spacing w:line="0" w:lineRule="atLeast"/>
      <w:jc w:val="center"/>
    </w:pPr>
    <w:rPr>
      <w:rFonts w:ascii="黑体" w:hAnsi="Times New Roman" w:eastAsia="黑体"/>
      <w:spacing w:val="20"/>
      <w:w w:val="135"/>
      <w:kern w:val="0"/>
      <w:sz w:val="36"/>
      <w:szCs w:val="20"/>
    </w:rPr>
  </w:style>
  <w:style w:type="paragraph" w:customStyle="1" w:styleId="13">
    <w:name w:val="列出段落1"/>
    <w:basedOn w:val="1"/>
    <w:qFormat/>
    <w:uiPriority w:val="34"/>
    <w:pPr>
      <w:ind w:firstLine="420" w:firstLineChars="200"/>
    </w:pPr>
  </w:style>
  <w:style w:type="paragraph" w:customStyle="1" w:styleId="14">
    <w:name w:val="段"/>
    <w:basedOn w:val="1"/>
    <w:qFormat/>
    <w:uiPriority w:val="0"/>
    <w:pPr>
      <w:spacing w:line="360" w:lineRule="atLeast"/>
      <w:ind w:firstLine="425"/>
    </w:pPr>
    <w:rPr>
      <w:rFonts w:ascii="宋体" w:hAnsi="Times New Roman" w:eastAsia="方正书宋简体"/>
      <w:szCs w:val="20"/>
      <w:lang w:val="zh-CN"/>
    </w:rPr>
  </w:style>
  <w:style w:type="paragraph" w:customStyle="1" w:styleId="15">
    <w:name w:val="章标题"/>
    <w:next w:val="14"/>
    <w:qFormat/>
    <w:uiPriority w:val="99"/>
    <w:p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2021-04-23T05:30:00Z</dcterms:created>
  <dc:creator>Administrator</dc:creator>
  <cp:lastModifiedBy>Administrator</cp:lastModifiedBy>
  <dcterms:modified xsi:type="dcterms:W3CDTF">2021-09-27T05:33:17Z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D0088CE6CBCB4108B7B89D6E5E801C9B</vt:lpwstr>
  </property>
</Properties>
</file>